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rPr>
          <w:rFonts w:eastAsia="仿宋_GB2312"/>
          <w:color w:val="000000" w:themeColor="text1"/>
          <w:sz w:val="36"/>
          <w:szCs w:val="36"/>
          <w14:textFill>
            <w14:solidFill>
              <w14:schemeClr w14:val="tx1"/>
            </w14:solidFill>
          </w14:textFill>
        </w:rPr>
      </w:pPr>
    </w:p>
    <w:p>
      <w:pPr>
        <w:adjustRightInd w:val="0"/>
        <w:snapToGrid w:val="0"/>
        <w:jc w:val="center"/>
        <w:outlineLvl w:val="0"/>
        <w:rPr>
          <w:rFonts w:eastAsia="微软雅黑"/>
          <w:bCs/>
          <w:color w:val="000000" w:themeColor="text1"/>
          <w:sz w:val="72"/>
          <w:szCs w:val="72"/>
          <w14:textFill>
            <w14:solidFill>
              <w14:schemeClr w14:val="tx1"/>
            </w14:solidFill>
          </w14:textFill>
        </w:rPr>
      </w:pPr>
      <w:bookmarkStart w:id="0" w:name="_Toc7651"/>
      <w:bookmarkStart w:id="1" w:name="_Toc11135"/>
      <w:bookmarkStart w:id="2" w:name="_Toc5589"/>
      <w:r>
        <w:rPr>
          <w:rFonts w:eastAsia="微软雅黑"/>
          <w:bCs/>
          <w:color w:val="000000" w:themeColor="text1"/>
          <w:sz w:val="72"/>
          <w:szCs w:val="72"/>
          <w14:textFill>
            <w14:solidFill>
              <w14:schemeClr w14:val="tx1"/>
            </w14:solidFill>
          </w14:textFill>
        </w:rPr>
        <w:t>建设项目环境影响报告表</w:t>
      </w:r>
      <w:bookmarkEnd w:id="0"/>
      <w:bookmarkEnd w:id="1"/>
      <w:bookmarkEnd w:id="2"/>
    </w:p>
    <w:p>
      <w:pPr>
        <w:adjustRightInd w:val="0"/>
        <w:snapToGrid w:val="0"/>
        <w:spacing w:before="192" w:beforeLines="80"/>
        <w:jc w:val="center"/>
        <w:rPr>
          <w:rFonts w:eastAsia="楷体_GB2312"/>
          <w:bCs/>
          <w:color w:val="000000" w:themeColor="text1"/>
          <w:sz w:val="48"/>
          <w:szCs w:val="48"/>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pPr>
        <w:adjustRightInd w:val="0"/>
        <w:snapToGrid w:val="0"/>
        <w:spacing w:line="288" w:lineRule="auto"/>
        <w:jc w:val="center"/>
        <w:rPr>
          <w:rFonts w:eastAsia="华文仿宋"/>
          <w:color w:val="000000" w:themeColor="text1"/>
          <w:kern w:val="44"/>
          <w:sz w:val="44"/>
          <w:szCs w:val="44"/>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288" w:lineRule="auto"/>
        <w:ind w:firstLine="960" w:firstLineChars="300"/>
        <w:rPr>
          <w:rFonts w:hint="eastAsia" w:eastAsia="仿宋_GB2312"/>
          <w:color w:val="000000" w:themeColor="text1"/>
          <w:sz w:val="32"/>
          <w:szCs w:val="32"/>
          <w:u w:val="single"/>
          <w:lang w:eastAsia="zh-CN"/>
          <w14:textFill>
            <w14:solidFill>
              <w14:schemeClr w14:val="tx1"/>
            </w14:solidFill>
          </w14:textFill>
        </w:rPr>
      </w:pPr>
      <w:r>
        <w:rPr>
          <w:rFonts w:eastAsia="仿宋_GB2312"/>
          <w:color w:val="000000" w:themeColor="text1"/>
          <w:sz w:val="32"/>
          <w:szCs w:val="32"/>
          <w14:textFill>
            <w14:solidFill>
              <w14:schemeClr w14:val="tx1"/>
            </w14:solidFill>
          </w14:textFill>
        </w:rPr>
        <w:t>项目名称：</w:t>
      </w:r>
      <w:r>
        <w:rPr>
          <w:rFonts w:hint="eastAsia" w:eastAsia="仿宋_GB2312"/>
          <w:color w:val="000000" w:themeColor="text1"/>
          <w:sz w:val="32"/>
          <w:szCs w:val="32"/>
          <w:u w:val="single"/>
          <w:lang w:eastAsia="zh-CN"/>
          <w14:textFill>
            <w14:solidFill>
              <w14:schemeClr w14:val="tx1"/>
            </w14:solidFill>
          </w14:textFill>
        </w:rPr>
        <w:t>嘉荫县向阳乡锅炉项目</w:t>
      </w:r>
    </w:p>
    <w:p>
      <w:pPr>
        <w:adjustRightInd w:val="0"/>
        <w:snapToGrid w:val="0"/>
        <w:spacing w:line="288" w:lineRule="auto"/>
        <w:ind w:firstLine="1040"/>
        <w:rPr>
          <w:rFonts w:eastAsia="仿宋_GB2312"/>
          <w:color w:val="000000" w:themeColor="text1"/>
          <w:sz w:val="32"/>
          <w:szCs w:val="32"/>
          <w:u w:val="single"/>
          <w14:textFill>
            <w14:solidFill>
              <w14:schemeClr w14:val="tx1"/>
            </w14:solidFill>
          </w14:textFill>
        </w:rPr>
      </w:pPr>
      <w:r>
        <w:rPr>
          <w:rFonts w:eastAsia="仿宋_GB2312"/>
          <w:color w:val="000000" w:themeColor="text1"/>
          <w:sz w:val="32"/>
          <w:szCs w:val="32"/>
          <w14:textFill>
            <w14:solidFill>
              <w14:schemeClr w14:val="tx1"/>
            </w14:solidFill>
          </w14:textFill>
        </w:rPr>
        <w:t>建设单位（盖章）：</w:t>
      </w:r>
      <w:r>
        <w:rPr>
          <w:rFonts w:hint="eastAsia" w:eastAsia="仿宋_GB2312"/>
          <w:color w:val="000000" w:themeColor="text1"/>
          <w:sz w:val="32"/>
          <w:szCs w:val="32"/>
          <w:u w:val="single"/>
          <w:lang w:eastAsia="zh-CN"/>
          <w14:textFill>
            <w14:solidFill>
              <w14:schemeClr w14:val="tx1"/>
            </w14:solidFill>
          </w14:textFill>
        </w:rPr>
        <w:t>嘉荫县向阳乡人民政府</w:t>
      </w:r>
      <w:r>
        <w:rPr>
          <w:rFonts w:hint="eastAsia" w:eastAsia="仿宋_GB2312"/>
          <w:color w:val="000000" w:themeColor="text1"/>
          <w:sz w:val="32"/>
          <w:szCs w:val="32"/>
          <w:u w:val="single"/>
          <w14:textFill>
            <w14:solidFill>
              <w14:schemeClr w14:val="tx1"/>
            </w14:solidFill>
          </w14:textFill>
        </w:rPr>
        <w:t xml:space="preserve"> </w:t>
      </w:r>
    </w:p>
    <w:p>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r>
        <w:rPr>
          <w:rFonts w:eastAsia="仿宋_GB2312"/>
          <w:color w:val="000000" w:themeColor="text1"/>
          <w:sz w:val="32"/>
          <w:szCs w:val="32"/>
          <w14:textFill>
            <w14:solidFill>
              <w14:schemeClr w14:val="tx1"/>
            </w14:solidFill>
          </w14:textFill>
        </w:rPr>
        <w:t>编制日期：</w:t>
      </w:r>
      <w:r>
        <w:rPr>
          <w:rFonts w:eastAsia="仿宋_GB2312"/>
          <w:color w:val="000000" w:themeColor="text1"/>
          <w:sz w:val="32"/>
          <w:szCs w:val="32"/>
          <w:u w:val="single"/>
          <w14:textFill>
            <w14:solidFill>
              <w14:schemeClr w14:val="tx1"/>
            </w14:solidFill>
          </w14:textFill>
        </w:rPr>
        <w:t>202</w:t>
      </w:r>
      <w:r>
        <w:rPr>
          <w:rFonts w:hint="eastAsia" w:eastAsia="仿宋_GB2312"/>
          <w:color w:val="000000" w:themeColor="text1"/>
          <w:sz w:val="32"/>
          <w:szCs w:val="32"/>
          <w:u w:val="single"/>
          <w14:textFill>
            <w14:solidFill>
              <w14:schemeClr w14:val="tx1"/>
            </w14:solidFill>
          </w14:textFill>
        </w:rPr>
        <w:t>6</w:t>
      </w:r>
      <w:r>
        <w:rPr>
          <w:rFonts w:eastAsia="仿宋_GB2312"/>
          <w:color w:val="000000" w:themeColor="text1"/>
          <w:sz w:val="32"/>
          <w:szCs w:val="32"/>
          <w:u w:val="single"/>
          <w14:textFill>
            <w14:solidFill>
              <w14:schemeClr w14:val="tx1"/>
            </w14:solidFill>
          </w14:textFill>
        </w:rPr>
        <w:t>年</w:t>
      </w:r>
      <w:r>
        <w:rPr>
          <w:rFonts w:hint="eastAsia" w:eastAsia="仿宋_GB2312"/>
          <w:color w:val="000000" w:themeColor="text1"/>
          <w:sz w:val="32"/>
          <w:szCs w:val="32"/>
          <w:u w:val="single"/>
          <w:lang w:val="en-US" w:eastAsia="zh-CN"/>
          <w14:textFill>
            <w14:solidFill>
              <w14:schemeClr w14:val="tx1"/>
            </w14:solidFill>
          </w14:textFill>
        </w:rPr>
        <w:t>5</w:t>
      </w:r>
      <w:r>
        <w:rPr>
          <w:rFonts w:eastAsia="仿宋_GB2312"/>
          <w:color w:val="000000" w:themeColor="text1"/>
          <w:sz w:val="32"/>
          <w:szCs w:val="32"/>
          <w:u w:val="single"/>
          <w14:textFill>
            <w14:solidFill>
              <w14:schemeClr w14:val="tx1"/>
            </w14:solidFill>
          </w14:textFill>
        </w:rPr>
        <w:t>月</w:t>
      </w:r>
    </w:p>
    <w:p>
      <w:pPr>
        <w:adjustRightInd w:val="0"/>
        <w:snapToGrid w:val="0"/>
        <w:spacing w:line="288" w:lineRule="auto"/>
        <w:ind w:firstLine="1040"/>
        <w:rPr>
          <w:rFonts w:eastAsia="仿宋_GB2312"/>
          <w:color w:val="000000" w:themeColor="text1"/>
          <w:sz w:val="36"/>
          <w:szCs w:val="36"/>
          <w:u w:val="single"/>
          <w14:textFill>
            <w14:solidFill>
              <w14:schemeClr w14:val="tx1"/>
            </w14:solidFill>
          </w14:textFill>
        </w:rPr>
      </w:pPr>
      <w:bookmarkStart w:id="3" w:name="_Hlk57884087"/>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pPr>
        <w:adjustRightInd w:val="0"/>
        <w:snapToGrid w:val="0"/>
        <w:spacing w:line="288" w:lineRule="auto"/>
        <w:rPr>
          <w:rFonts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3"/>
    <w:p>
      <w:pPr>
        <w:adjustRightInd w:val="0"/>
        <w:snapToGrid w:val="0"/>
        <w:spacing w:line="288" w:lineRule="auto"/>
        <w:jc w:val="center"/>
        <w:rPr>
          <w:rFonts w:eastAsia="楷体_GB2312"/>
          <w:color w:val="000000" w:themeColor="text1"/>
          <w:sz w:val="36"/>
          <w:szCs w:val="36"/>
          <w14:textFill>
            <w14:solidFill>
              <w14:schemeClr w14:val="tx1"/>
            </w14:solidFill>
          </w14:textFill>
        </w:rPr>
      </w:pPr>
      <w:r>
        <w:rPr>
          <w:rFonts w:eastAsia="楷体_GB2312"/>
          <w:color w:val="000000" w:themeColor="text1"/>
          <w:sz w:val="36"/>
          <w:szCs w:val="36"/>
          <w14:textFill>
            <w14:solidFill>
              <w14:schemeClr w14:val="tx1"/>
            </w14:solidFill>
          </w14:textFill>
        </w:rPr>
        <w:t>中华人民共和国生态环境部制</w:t>
      </w:r>
    </w:p>
    <w:p>
      <w:pPr>
        <w:adjustRightInd w:val="0"/>
        <w:snapToGrid w:val="0"/>
        <w:spacing w:line="288" w:lineRule="auto"/>
        <w:rPr>
          <w:color w:val="000000" w:themeColor="text1"/>
          <w14:textFill>
            <w14:solidFill>
              <w14:schemeClr w14:val="tx1"/>
            </w14:solidFill>
          </w14:textFill>
        </w:rPr>
        <w:sectPr>
          <w:headerReference r:id="rId3" w:type="firs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0"/>
          <w:cols w:space="720" w:num="1"/>
          <w:titlePg/>
          <w:docGrid w:linePitch="312" w:charSpace="0"/>
        </w:sectPr>
      </w:pPr>
    </w:p>
    <w:p>
      <w:pPr>
        <w:pStyle w:val="2"/>
        <w:sectPr>
          <w:pgSz w:w="11906" w:h="16838"/>
          <w:pgMar w:top="1701" w:right="1531" w:bottom="1701" w:left="1531" w:header="851" w:footer="1077" w:gutter="0"/>
          <w:pgBorders>
            <w:top w:val="none" w:sz="0" w:space="0"/>
            <w:left w:val="none" w:sz="0" w:space="0"/>
            <w:bottom w:val="none" w:sz="0" w:space="0"/>
            <w:right w:val="none" w:sz="0" w:space="0"/>
          </w:pgBorders>
          <w:pgNumType w:start="0"/>
          <w:cols w:space="720" w:num="1"/>
          <w:titlePg/>
          <w:docGrid w:linePitch="312" w:charSpace="0"/>
        </w:sectPr>
      </w:pPr>
    </w:p>
    <w:sdt>
      <w:sdtPr>
        <w:rPr>
          <w:rFonts w:ascii="宋体" w:hAnsi="宋体"/>
          <w:b/>
          <w:bCs/>
          <w:color w:val="000000" w:themeColor="text1"/>
          <w:sz w:val="36"/>
          <w:szCs w:val="44"/>
          <w:highlight w:val="none"/>
          <w14:textFill>
            <w14:solidFill>
              <w14:schemeClr w14:val="tx1"/>
            </w14:solidFill>
          </w14:textFill>
        </w:rPr>
        <w:id w:val="147457430"/>
        <w15:color w:val="DBDBDB"/>
        <w:docPartObj>
          <w:docPartGallery w:val="Table of Contents"/>
          <w:docPartUnique/>
        </w:docPartObj>
      </w:sdtPr>
      <w:sdtEndPr>
        <w:rPr>
          <w:rFonts w:ascii="Times New Roman" w:hAnsi="Times New Roman"/>
          <w:b/>
          <w:bCs/>
          <w:color w:val="000000" w:themeColor="text1"/>
          <w:sz w:val="21"/>
          <w:szCs w:val="24"/>
          <w:highlight w:val="yellow"/>
          <w14:textFill>
            <w14:solidFill>
              <w14:schemeClr w14:val="tx1"/>
            </w14:solidFill>
          </w14:textFill>
        </w:rPr>
      </w:sdtEndPr>
      <w:sdtContent>
        <w:p>
          <w:pPr>
            <w:jc w:val="center"/>
            <w:rPr>
              <w:b/>
              <w:bCs/>
              <w:color w:val="000000" w:themeColor="text1"/>
              <w:sz w:val="36"/>
              <w:szCs w:val="44"/>
              <w:highlight w:val="none"/>
              <w14:textFill>
                <w14:solidFill>
                  <w14:schemeClr w14:val="tx1"/>
                </w14:solidFill>
              </w14:textFill>
            </w:rPr>
          </w:pPr>
          <w:r>
            <w:rPr>
              <w:rFonts w:ascii="宋体" w:hAnsi="宋体"/>
              <w:b/>
              <w:bCs/>
              <w:color w:val="000000" w:themeColor="text1"/>
              <w:sz w:val="36"/>
              <w:szCs w:val="44"/>
              <w:highlight w:val="none"/>
              <w14:textFill>
                <w14:solidFill>
                  <w14:schemeClr w14:val="tx1"/>
                </w14:solidFill>
              </w14:textFill>
            </w:rPr>
            <w:t>目</w:t>
          </w:r>
          <w:r>
            <w:rPr>
              <w:rFonts w:hint="eastAsia" w:ascii="宋体" w:hAnsi="宋体"/>
              <w:b/>
              <w:bCs/>
              <w:color w:val="000000" w:themeColor="text1"/>
              <w:sz w:val="36"/>
              <w:szCs w:val="44"/>
              <w:highlight w:val="none"/>
              <w:lang w:val="en-US" w:eastAsia="zh-CN"/>
              <w14:textFill>
                <w14:solidFill>
                  <w14:schemeClr w14:val="tx1"/>
                </w14:solidFill>
              </w14:textFill>
            </w:rPr>
            <w:t xml:space="preserve">  </w:t>
          </w:r>
          <w:r>
            <w:rPr>
              <w:rFonts w:ascii="宋体" w:hAnsi="宋体"/>
              <w:b/>
              <w:bCs/>
              <w:color w:val="000000" w:themeColor="text1"/>
              <w:sz w:val="36"/>
              <w:szCs w:val="44"/>
              <w:highlight w:val="none"/>
              <w14:textFill>
                <w14:solidFill>
                  <w14:schemeClr w14:val="tx1"/>
                </w14:solidFill>
              </w14:textFill>
            </w:rPr>
            <w:t>录</w:t>
          </w:r>
        </w:p>
        <w:p>
          <w:pPr>
            <w:pStyle w:val="27"/>
            <w:tabs>
              <w:tab w:val="right" w:leader="dot" w:pos="8844"/>
            </w:tabs>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TOC \o "1-1" \h \u </w:instrText>
          </w:r>
          <w:r>
            <w:rPr>
              <w:color w:val="000000" w:themeColor="text1"/>
              <w:sz w:val="24"/>
              <w14:textFill>
                <w14:solidFill>
                  <w14:schemeClr w14:val="tx1"/>
                </w14:solidFill>
              </w14:textFill>
            </w:rPr>
            <w:fldChar w:fldCharType="separate"/>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_Toc32174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rPr>
            <w:t>一、建设项目基本情况</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_Toc32174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_Toc15544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rPr>
            <w:t>二、建设项目工程分析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_Toc15544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_Toc8236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rPr>
            <w:t>三、区域环境质量现状、环境保护目标及评价标准</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_Toc8236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12</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_Toc17709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rPr>
            <w:t>四、主要环境影响和保护措施</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_Toc17709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17</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_Toc25380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rPr>
            <w:t>五、环境保护措施监督检查清单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_Toc25380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29</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_Toc29023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rPr>
            <w:t>六、结论</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_Toc29023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30</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_Toc29510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rPr>
            <w:t>附表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_Toc29510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31</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_Toc28411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rPr>
            <w:t>附图1 本项目地理位置图</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_Toc28411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32</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_Toc8723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napToGrid w:val="0"/>
              <w:sz w:val="24"/>
              <w:szCs w:val="24"/>
              <w:highlight w:val="none"/>
            </w:rPr>
            <w:t>附图2 厂区总平面布置图</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_Toc8723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33</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_Toc22226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lang w:val="en-US" w:eastAsia="zh-CN"/>
            </w:rPr>
            <w:t>附件1 组织机构代码</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_Toc22226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34</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_Toc19569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附件2 监测报告</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_Toc19569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35</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_Toc30256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附件3 燃料分析报告</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_Toc30256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39</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_Toc25683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附件4生态环境分区管控报告</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_Toc25683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40</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pStyle w:val="27"/>
            <w:tabs>
              <w:tab w:val="right" w:leader="dot" w:pos="8844"/>
            </w:tabs>
            <w:spacing w:line="360" w:lineRule="auto"/>
            <w:rPr>
              <w:sz w:val="24"/>
              <w:szCs w:val="24"/>
            </w:rPr>
          </w:pPr>
          <w:r>
            <w:rPr>
              <w:rFonts w:hint="eastAsia" w:ascii="宋体" w:hAnsi="宋体" w:eastAsia="宋体" w:cs="宋体"/>
              <w:b w:val="0"/>
              <w:bCs w:val="0"/>
              <w:color w:val="000000" w:themeColor="text1"/>
              <w:sz w:val="24"/>
              <w:szCs w:val="24"/>
              <w14:textFill>
                <w14:solidFill>
                  <w14:schemeClr w14:val="tx1"/>
                </w14:solidFill>
              </w14:textFill>
            </w:rPr>
            <w:fldChar w:fldCharType="begin"/>
          </w:r>
          <w:r>
            <w:rPr>
              <w:rFonts w:hint="eastAsia" w:ascii="宋体" w:hAnsi="宋体" w:eastAsia="宋体" w:cs="宋体"/>
              <w:b w:val="0"/>
              <w:bCs w:val="0"/>
              <w:sz w:val="24"/>
              <w:szCs w:val="24"/>
            </w:rPr>
            <w:instrText xml:space="preserve"> HYPERLINK \l _Toc28325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highlight w:val="none"/>
            </w:rPr>
            <w:t>附件5核定总量计算说明</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_Toc28325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45</w:t>
          </w:r>
          <w:r>
            <w:rPr>
              <w:rFonts w:hint="eastAsia" w:ascii="宋体" w:hAnsi="宋体" w:eastAsia="宋体" w:cs="宋体"/>
              <w:b w:val="0"/>
              <w:bCs w:val="0"/>
              <w:sz w:val="24"/>
              <w:szCs w:val="24"/>
            </w:rPr>
            <w:fldChar w:fldCharType="end"/>
          </w:r>
          <w:r>
            <w:rPr>
              <w:rFonts w:hint="eastAsia" w:ascii="宋体" w:hAnsi="宋体" w:eastAsia="宋体" w:cs="宋体"/>
              <w:b w:val="0"/>
              <w:bCs w:val="0"/>
              <w:color w:val="000000" w:themeColor="text1"/>
              <w:sz w:val="24"/>
              <w:szCs w:val="24"/>
              <w14:textFill>
                <w14:solidFill>
                  <w14:schemeClr w14:val="tx1"/>
                </w14:solidFill>
              </w14:textFill>
            </w:rPr>
            <w:fldChar w:fldCharType="end"/>
          </w:r>
        </w:p>
        <w:p>
          <w:pPr>
            <w:adjustRightInd w:val="0"/>
            <w:snapToGrid w:val="0"/>
            <w:spacing w:line="360" w:lineRule="auto"/>
            <w:ind w:firstLine="1040"/>
            <w:rPr>
              <w:color w:val="000000" w:themeColor="text1"/>
              <w14:textFill>
                <w14:solidFill>
                  <w14:schemeClr w14:val="tx1"/>
                </w14:solidFill>
              </w14:textFill>
            </w:rPr>
          </w:pPr>
          <w:r>
            <w:rPr>
              <w:color w:val="000000" w:themeColor="text1"/>
              <w14:textFill>
                <w14:solidFill>
                  <w14:schemeClr w14:val="tx1"/>
                </w14:solidFill>
              </w14:textFill>
            </w:rPr>
            <w:fldChar w:fldCharType="end"/>
          </w:r>
        </w:p>
      </w:sdtContent>
    </w:sdt>
    <w:p>
      <w:pPr>
        <w:adjustRightInd w:val="0"/>
        <w:snapToGrid w:val="0"/>
        <w:spacing w:line="288" w:lineRule="auto"/>
        <w:ind w:firstLine="1040"/>
        <w:rPr>
          <w:color w:val="000000" w:themeColor="text1"/>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0"/>
          <w:cols w:space="720" w:num="1"/>
          <w:titlePg/>
          <w:docGrid w:linePitch="312" w:charSpace="0"/>
        </w:sectPr>
      </w:pPr>
    </w:p>
    <w:p>
      <w:pPr>
        <w:pStyle w:val="31"/>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4" w:name="_Toc32174"/>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4"/>
    </w:p>
    <w:tbl>
      <w:tblPr>
        <w:tblStyle w:val="36"/>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61"/>
        <w:gridCol w:w="2002"/>
        <w:gridCol w:w="2347"/>
        <w:gridCol w:w="3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377" w:type="dxa"/>
            <w:gridSpan w:val="3"/>
            <w:vAlign w:val="center"/>
          </w:tcPr>
          <w:p>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嘉荫县向阳乡锅炉项目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377" w:type="dxa"/>
            <w:gridSpan w:val="3"/>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建设单位联系人</w:t>
            </w:r>
          </w:p>
        </w:tc>
        <w:tc>
          <w:tcPr>
            <w:tcW w:w="2002" w:type="dxa"/>
            <w:vAlign w:val="center"/>
          </w:tcPr>
          <w:p>
            <w:pPr>
              <w:adjustRightInd w:val="0"/>
              <w:snapToGrid w:val="0"/>
              <w:jc w:val="center"/>
              <w:rPr>
                <w:color w:val="000000" w:themeColor="text1"/>
                <w:sz w:val="24"/>
                <w:szCs w:val="24"/>
                <w14:textFill>
                  <w14:solidFill>
                    <w14:schemeClr w14:val="tx1"/>
                  </w14:solidFill>
                </w14:textFill>
              </w:rPr>
            </w:pPr>
          </w:p>
        </w:tc>
        <w:tc>
          <w:tcPr>
            <w:tcW w:w="2347"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联系方式</w:t>
            </w:r>
          </w:p>
        </w:tc>
        <w:tc>
          <w:tcPr>
            <w:tcW w:w="3028" w:type="dxa"/>
            <w:vAlign w:val="center"/>
          </w:tcPr>
          <w:p>
            <w:pPr>
              <w:adjustRightInd w:val="0"/>
              <w:snapToGrid w:val="0"/>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7377" w:type="dxa"/>
            <w:gridSpan w:val="3"/>
            <w:vAlign w:val="center"/>
          </w:tcPr>
          <w:p>
            <w:pPr>
              <w:adjustRightInd w:val="0"/>
              <w:snapToGrid w:val="0"/>
              <w:jc w:val="center"/>
              <w:rPr>
                <w:rFonts w:hint="default"/>
                <w:color w:val="000000" w:themeColor="text1"/>
                <w:sz w:val="24"/>
                <w:highlight w:val="none"/>
                <w:lang w:val="en-US"/>
                <w14:textFill>
                  <w14:solidFill>
                    <w14:schemeClr w14:val="tx1"/>
                  </w14:solidFill>
                </w14:textFill>
              </w:rPr>
            </w:pPr>
            <w:r>
              <w:rPr>
                <w:rFonts w:hint="eastAsia" w:eastAsia="宋体"/>
                <w:color w:val="000000" w:themeColor="text1"/>
                <w:sz w:val="24"/>
                <w:highlight w:val="none"/>
                <w14:textFill>
                  <w14:solidFill>
                    <w14:schemeClr w14:val="tx1"/>
                  </w14:solidFill>
                </w14:textFill>
              </w:rPr>
              <w:t>黑龙江省伊春市</w:t>
            </w:r>
            <w:r>
              <w:rPr>
                <w:rFonts w:hint="eastAsia" w:eastAsia="宋体"/>
                <w:color w:val="000000" w:themeColor="text1"/>
                <w:sz w:val="24"/>
                <w:highlight w:val="none"/>
                <w:lang w:val="en-US" w:eastAsia="zh-CN"/>
                <w14:textFill>
                  <w14:solidFill>
                    <w14:schemeClr w14:val="tx1"/>
                  </w14:solidFill>
                </w14:textFill>
              </w:rPr>
              <w:t>嘉荫县向阳乡雪水温村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地理坐标</w:t>
            </w:r>
          </w:p>
        </w:tc>
        <w:tc>
          <w:tcPr>
            <w:tcW w:w="7377" w:type="dxa"/>
            <w:gridSpan w:val="3"/>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1</w:t>
            </w:r>
            <w:r>
              <w:rPr>
                <w:rFonts w:hint="eastAsia"/>
                <w:color w:val="000000" w:themeColor="text1"/>
                <w:sz w:val="24"/>
                <w:highlight w:val="none"/>
                <w:u w:val="single"/>
                <w14:textFill>
                  <w14:solidFill>
                    <w14:schemeClr w14:val="tx1"/>
                  </w14:solidFill>
                </w14:textFill>
              </w:rPr>
              <w:t>2</w:t>
            </w:r>
            <w:r>
              <w:rPr>
                <w:rFonts w:hint="eastAsia"/>
                <w:color w:val="000000" w:themeColor="text1"/>
                <w:sz w:val="24"/>
                <w:highlight w:val="none"/>
                <w:u w:val="single"/>
                <w:lang w:val="en-US" w:eastAsia="zh-CN"/>
                <w14:textFill>
                  <w14:solidFill>
                    <w14:schemeClr w14:val="tx1"/>
                  </w14:solidFill>
                </w14:textFill>
              </w:rPr>
              <w:t>9</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45</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42.323</w:t>
            </w:r>
            <w:r>
              <w:rPr>
                <w:color w:val="000000" w:themeColor="text1"/>
                <w:sz w:val="24"/>
                <w:highlight w:val="none"/>
                <w14:textFill>
                  <w14:solidFill>
                    <w14:schemeClr w14:val="tx1"/>
                  </w14:solidFill>
                </w14:textFill>
              </w:rPr>
              <w:t>秒，</w:t>
            </w:r>
            <w:r>
              <w:rPr>
                <w:color w:val="000000" w:themeColor="text1"/>
                <w:sz w:val="24"/>
                <w:highlight w:val="none"/>
                <w:u w:val="single"/>
                <w14:textFill>
                  <w14:solidFill>
                    <w14:schemeClr w14:val="tx1"/>
                  </w14:solidFill>
                </w14:textFill>
              </w:rPr>
              <w:t>4</w:t>
            </w:r>
            <w:r>
              <w:rPr>
                <w:rFonts w:hint="eastAsia"/>
                <w:color w:val="000000" w:themeColor="text1"/>
                <w:sz w:val="24"/>
                <w:highlight w:val="none"/>
                <w:u w:val="single"/>
                <w:lang w:val="en-US" w:eastAsia="zh-CN"/>
                <w14:textFill>
                  <w14:solidFill>
                    <w14:schemeClr w14:val="tx1"/>
                  </w14:solidFill>
                </w14:textFill>
              </w:rPr>
              <w:t>9</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10</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59</w:t>
            </w:r>
            <w:r>
              <w:rPr>
                <w:rFonts w:hint="eastAsia"/>
                <w:color w:val="000000" w:themeColor="text1"/>
                <w:sz w:val="24"/>
                <w:highlight w:val="none"/>
                <w:u w:val="single"/>
                <w14:textFill>
                  <w14:solidFill>
                    <w14:schemeClr w14:val="tx1"/>
                  </w14:solidFill>
                </w14:textFill>
              </w:rPr>
              <w:t>.</w:t>
            </w:r>
            <w:r>
              <w:rPr>
                <w:rFonts w:hint="eastAsia"/>
                <w:color w:val="000000" w:themeColor="text1"/>
                <w:sz w:val="24"/>
                <w:highlight w:val="none"/>
                <w:u w:val="single"/>
                <w:lang w:val="en-US" w:eastAsia="zh-CN"/>
                <w14:textFill>
                  <w14:solidFill>
                    <w14:schemeClr w14:val="tx1"/>
                  </w14:solidFill>
                </w14:textFill>
              </w:rPr>
              <w:t>426</w:t>
            </w:r>
            <w:r>
              <w:rPr>
                <w:color w:val="000000" w:themeColor="text1"/>
                <w:sz w:val="24"/>
                <w:highlight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00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D4430热力生产和供应</w:t>
            </w:r>
          </w:p>
        </w:tc>
        <w:tc>
          <w:tcPr>
            <w:tcW w:w="2347" w:type="dxa"/>
            <w:vAlign w:val="center"/>
          </w:tcPr>
          <w:p>
            <w:pPr>
              <w:adjustRightInd w:val="0"/>
              <w:snapToGrid w:val="0"/>
              <w:jc w:val="center"/>
              <w:rPr>
                <w:color w:val="000000" w:themeColor="text1"/>
                <w:sz w:val="24"/>
                <w14:textFill>
                  <w14:solidFill>
                    <w14:schemeClr w14:val="tx1"/>
                  </w14:solidFill>
                </w14:textFill>
              </w:rPr>
            </w:pPr>
            <w:bookmarkStart w:id="5"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5"/>
          </w:p>
        </w:tc>
        <w:tc>
          <w:tcPr>
            <w:tcW w:w="3028" w:type="dxa"/>
            <w:vAlign w:val="center"/>
          </w:tcPr>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91-热力生产和供应工程</w:t>
            </w:r>
          </w:p>
          <w:p>
            <w:pP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002"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234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028" w:type="dxa"/>
            <w:vAlign w:val="center"/>
          </w:tcPr>
          <w:p>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 xml:space="preserve">首次申报项目             </w:t>
            </w:r>
          </w:p>
          <w:p>
            <w:pPr>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 xml:space="preserve">超五年重新审核项目     </w:t>
            </w:r>
          </w:p>
          <w:p>
            <w:pPr>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2002"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2347"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3028"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002" w:type="dxa"/>
            <w:vAlign w:val="center"/>
          </w:tcPr>
          <w:p>
            <w:pPr>
              <w:adjustRightInd w:val="0"/>
              <w:snapToGrid w:val="0"/>
              <w:jc w:val="center"/>
              <w:rPr>
                <w:color w:val="000000" w:themeColor="text1"/>
                <w:sz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56.7</w:t>
            </w:r>
          </w:p>
        </w:tc>
        <w:tc>
          <w:tcPr>
            <w:tcW w:w="2347"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环保投资（万元）</w:t>
            </w:r>
          </w:p>
        </w:tc>
        <w:tc>
          <w:tcPr>
            <w:tcW w:w="3028" w:type="dxa"/>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p>
        </w:tc>
        <w:tc>
          <w:tcPr>
            <w:tcW w:w="2002" w:type="dxa"/>
            <w:vAlign w:val="center"/>
          </w:tcPr>
          <w:p>
            <w:pPr>
              <w:adjustRightInd w:val="0"/>
              <w:snapToGrid w:val="0"/>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23.81</w:t>
            </w:r>
          </w:p>
        </w:tc>
        <w:tc>
          <w:tcPr>
            <w:tcW w:w="2347" w:type="dxa"/>
            <w:tcMar>
              <w:top w:w="16" w:type="dxa"/>
              <w:left w:w="16" w:type="dxa"/>
              <w:right w:w="16" w:type="dxa"/>
            </w:tcMar>
            <w:vAlign w:val="center"/>
          </w:tcPr>
          <w:p>
            <w:pPr>
              <w:adjustRightInd w:val="0"/>
              <w:snapToGrid w:val="0"/>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3028" w:type="dxa"/>
            <w:vAlign w:val="center"/>
          </w:tcPr>
          <w:p>
            <w:pPr>
              <w:adjustRightInd w:val="0"/>
              <w:snapToGrid w:val="0"/>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2026年7月-8月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jc w:val="center"/>
        </w:trPr>
        <w:tc>
          <w:tcPr>
            <w:tcW w:w="2261"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002"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2347" w:type="dxa"/>
            <w:tcMar>
              <w:top w:w="16" w:type="dxa"/>
              <w:left w:w="16" w:type="dxa"/>
              <w:right w:w="16" w:type="dxa"/>
            </w:tcMar>
            <w:vAlign w:val="center"/>
          </w:tcPr>
          <w:p>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028"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2261"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377" w:type="dxa"/>
            <w:gridSpan w:val="3"/>
            <w:vAlign w:val="center"/>
          </w:tcPr>
          <w:p>
            <w:pPr>
              <w:autoSpaceDE w:val="0"/>
              <w:autoSpaceDN w:val="0"/>
              <w:adjustRightInd w:val="0"/>
              <w:snapToGrid w:val="0"/>
              <w:spacing w:line="240" w:lineRule="auto"/>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表1-1 专项评价设置情况</w:t>
            </w:r>
          </w:p>
          <w:tbl>
            <w:tblPr>
              <w:tblStyle w:val="36"/>
              <w:tblW w:w="716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623"/>
              <w:gridCol w:w="2293"/>
              <w:gridCol w:w="11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1" w:type="dxa"/>
                  <w:noWrap w:val="0"/>
                  <w:vAlign w:val="center"/>
                </w:tcPr>
                <w:p>
                  <w:pPr>
                    <w:pStyle w:val="136"/>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专项评价的类别</w:t>
                  </w:r>
                </w:p>
              </w:tc>
              <w:tc>
                <w:tcPr>
                  <w:tcW w:w="2623" w:type="dxa"/>
                  <w:noWrap w:val="0"/>
                  <w:vAlign w:val="center"/>
                </w:tcPr>
                <w:p>
                  <w:pPr>
                    <w:pStyle w:val="136"/>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设置原则</w:t>
                  </w:r>
                </w:p>
              </w:tc>
              <w:tc>
                <w:tcPr>
                  <w:tcW w:w="2293" w:type="dxa"/>
                  <w:noWrap w:val="0"/>
                  <w:vAlign w:val="center"/>
                </w:tcPr>
                <w:p>
                  <w:pPr>
                    <w:pStyle w:val="136"/>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本项目执行情况</w:t>
                  </w:r>
                </w:p>
              </w:tc>
              <w:tc>
                <w:tcPr>
                  <w:tcW w:w="1145" w:type="dxa"/>
                  <w:noWrap w:val="0"/>
                  <w:vAlign w:val="center"/>
                </w:tcPr>
                <w:p>
                  <w:pPr>
                    <w:pStyle w:val="136"/>
                    <w:adjustRightInd w:val="0"/>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是否开展专项评价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8" w:hRule="atLeast"/>
                <w:jc w:val="center"/>
              </w:trPr>
              <w:tc>
                <w:tcPr>
                  <w:tcW w:w="1101" w:type="dxa"/>
                  <w:noWrap w:val="0"/>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w:t>
                  </w:r>
                </w:p>
              </w:tc>
              <w:tc>
                <w:tcPr>
                  <w:tcW w:w="2623" w:type="dxa"/>
                  <w:noWrap w:val="0"/>
                  <w:vAlign w:val="center"/>
                </w:tcPr>
                <w:p>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排放废气含有毒有害污染物、二噁英、苯并[a]芘、氰化物、氯气且厂界外500米范围内有环境空气保护目标的建设项目</w:t>
                  </w:r>
                </w:p>
              </w:tc>
              <w:tc>
                <w:tcPr>
                  <w:tcW w:w="2293" w:type="dxa"/>
                  <w:noWrap w:val="0"/>
                  <w:vAlign w:val="center"/>
                </w:tcPr>
                <w:p>
                  <w:pPr>
                    <w:adjustRightInd w:val="0"/>
                    <w:snapToGrid w:val="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本项目为生物质锅炉，排放废气不含有毒有害污染物</w:t>
                  </w:r>
                </w:p>
              </w:tc>
              <w:tc>
                <w:tcPr>
                  <w:tcW w:w="1145" w:type="dxa"/>
                  <w:noWrap w:val="0"/>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1" w:type="dxa"/>
                  <w:noWrap w:val="0"/>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w:t>
                  </w:r>
                </w:p>
              </w:tc>
              <w:tc>
                <w:tcPr>
                  <w:tcW w:w="2623" w:type="dxa"/>
                  <w:noWrap w:val="0"/>
                  <w:vAlign w:val="center"/>
                </w:tcPr>
                <w:p>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新增工业废水直排建设项目（槽罐车外送污水处理厂的除外）；</w:t>
                  </w:r>
                </w:p>
                <w:p>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新增废水直排的污水集中处理厂</w:t>
                  </w:r>
                </w:p>
              </w:tc>
              <w:tc>
                <w:tcPr>
                  <w:tcW w:w="2293" w:type="dxa"/>
                  <w:noWrap w:val="0"/>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auto"/>
                      <w:sz w:val="21"/>
                      <w:szCs w:val="21"/>
                      <w:highlight w:val="none"/>
                    </w:rPr>
                    <w:t>本项目废水</w:t>
                  </w:r>
                  <w:r>
                    <w:rPr>
                      <w:rFonts w:hint="eastAsia"/>
                      <w:color w:val="auto"/>
                      <w:sz w:val="21"/>
                      <w:szCs w:val="21"/>
                      <w:highlight w:val="none"/>
                      <w:lang w:val="en-US" w:eastAsia="zh-CN"/>
                    </w:rPr>
                    <w:t>排放方式为</w:t>
                  </w:r>
                  <w:r>
                    <w:rPr>
                      <w:rFonts w:hint="eastAsia"/>
                      <w:color w:val="auto"/>
                      <w:sz w:val="21"/>
                      <w:szCs w:val="21"/>
                      <w:highlight w:val="none"/>
                    </w:rPr>
                    <w:t>间接排放</w:t>
                  </w:r>
                </w:p>
              </w:tc>
              <w:tc>
                <w:tcPr>
                  <w:tcW w:w="1145" w:type="dxa"/>
                  <w:noWrap w:val="0"/>
                  <w:vAlign w:val="center"/>
                </w:tcPr>
                <w:p>
                  <w:pPr>
                    <w:adjustRightInd w:val="0"/>
                    <w:snapToGrid w:val="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atLeast"/>
                <w:jc w:val="center"/>
              </w:trPr>
              <w:tc>
                <w:tcPr>
                  <w:tcW w:w="1101" w:type="dxa"/>
                  <w:noWrap w:val="0"/>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w:t>
                  </w:r>
                </w:p>
              </w:tc>
              <w:tc>
                <w:tcPr>
                  <w:tcW w:w="2623" w:type="dxa"/>
                  <w:noWrap w:val="0"/>
                  <w:vAlign w:val="center"/>
                </w:tcPr>
                <w:p>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有毒有害和易燃易爆危险物质存储量超过临界量的建设项目</w:t>
                  </w:r>
                </w:p>
              </w:tc>
              <w:tc>
                <w:tcPr>
                  <w:tcW w:w="2293" w:type="dxa"/>
                  <w:noWrap w:val="0"/>
                  <w:vAlign w:val="center"/>
                </w:tcPr>
                <w:p>
                  <w:pPr>
                    <w:adjustRightInd w:val="0"/>
                    <w:snapToGrid w:val="0"/>
                    <w:jc w:val="center"/>
                    <w:rPr>
                      <w:color w:val="000000" w:themeColor="text1"/>
                      <w:sz w:val="21"/>
                      <w:szCs w:val="21"/>
                      <w14:textFill>
                        <w14:solidFill>
                          <w14:schemeClr w14:val="tx1"/>
                        </w14:solidFill>
                      </w14:textFill>
                    </w:rPr>
                  </w:pPr>
                  <w:r>
                    <w:rPr>
                      <w:color w:val="auto"/>
                      <w:szCs w:val="21"/>
                    </w:rPr>
                    <w:t>本项目不涉及有毒有害和易燃易爆危险物质</w:t>
                  </w:r>
                </w:p>
              </w:tc>
              <w:tc>
                <w:tcPr>
                  <w:tcW w:w="1145" w:type="dxa"/>
                  <w:noWrap w:val="0"/>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1" w:type="dxa"/>
                  <w:noWrap w:val="0"/>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w:t>
                  </w:r>
                </w:p>
              </w:tc>
              <w:tc>
                <w:tcPr>
                  <w:tcW w:w="2623" w:type="dxa"/>
                  <w:noWrap w:val="0"/>
                  <w:vAlign w:val="center"/>
                </w:tcPr>
                <w:p>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2293" w:type="dxa"/>
                  <w:noWrap w:val="0"/>
                  <w:vAlign w:val="center"/>
                </w:tcPr>
                <w:p>
                  <w:pPr>
                    <w:adjustRightInd w:val="0"/>
                    <w:snapToGrid w:val="0"/>
                    <w:jc w:val="center"/>
                    <w:rPr>
                      <w:color w:val="000000" w:themeColor="text1"/>
                      <w:sz w:val="21"/>
                      <w:szCs w:val="21"/>
                      <w14:textFill>
                        <w14:solidFill>
                          <w14:schemeClr w14:val="tx1"/>
                        </w14:solidFill>
                      </w14:textFill>
                    </w:rPr>
                  </w:pPr>
                  <w:r>
                    <w:rPr>
                      <w:color w:val="auto"/>
                      <w:szCs w:val="21"/>
                    </w:rPr>
                    <w:t>本项目不涉及取水口</w:t>
                  </w:r>
                </w:p>
              </w:tc>
              <w:tc>
                <w:tcPr>
                  <w:tcW w:w="1145" w:type="dxa"/>
                  <w:noWrap w:val="0"/>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101" w:type="dxa"/>
                  <w:noWrap w:val="0"/>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海洋</w:t>
                  </w:r>
                </w:p>
              </w:tc>
              <w:tc>
                <w:tcPr>
                  <w:tcW w:w="2623" w:type="dxa"/>
                  <w:noWrap w:val="0"/>
                  <w:vAlign w:val="center"/>
                </w:tcPr>
                <w:p>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直接向海排放污染物的海洋工程建设项目</w:t>
                  </w:r>
                </w:p>
              </w:tc>
              <w:tc>
                <w:tcPr>
                  <w:tcW w:w="2293" w:type="dxa"/>
                  <w:noWrap w:val="0"/>
                  <w:vAlign w:val="center"/>
                </w:tcPr>
                <w:p>
                  <w:pPr>
                    <w:adjustRightInd w:val="0"/>
                    <w:snapToGrid w:val="0"/>
                    <w:jc w:val="center"/>
                    <w:rPr>
                      <w:color w:val="000000" w:themeColor="text1"/>
                      <w:sz w:val="21"/>
                      <w:szCs w:val="21"/>
                      <w14:textFill>
                        <w14:solidFill>
                          <w14:schemeClr w14:val="tx1"/>
                        </w14:solidFill>
                      </w14:textFill>
                    </w:rPr>
                  </w:pPr>
                  <w:r>
                    <w:rPr>
                      <w:color w:val="auto"/>
                      <w:szCs w:val="21"/>
                    </w:rPr>
                    <w:t>本项目不属于向海洋排放污染物的海洋工程建设项目</w:t>
                  </w:r>
                </w:p>
              </w:tc>
              <w:tc>
                <w:tcPr>
                  <w:tcW w:w="1145" w:type="dxa"/>
                  <w:noWrap w:val="0"/>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01" w:type="dxa"/>
                  <w:noWrap w:val="0"/>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w:t>
                  </w:r>
                </w:p>
              </w:tc>
              <w:tc>
                <w:tcPr>
                  <w:tcW w:w="2623" w:type="dxa"/>
                  <w:noWrap w:val="0"/>
                  <w:vAlign w:val="center"/>
                </w:tcPr>
                <w:p>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地下水原则上不开展专项评价，涉及集中式饮用水水源和热水、矿泉水、温泉等特殊地下水资源保护区的</w:t>
                  </w:r>
                  <w:r>
                    <w:rPr>
                      <w:rFonts w:hint="eastAsia"/>
                      <w:color w:val="000000" w:themeColor="text1"/>
                      <w:sz w:val="21"/>
                      <w:szCs w:val="21"/>
                      <w:lang w:eastAsia="zh-CN"/>
                      <w14:textFill>
                        <w14:solidFill>
                          <w14:schemeClr w14:val="tx1"/>
                        </w14:solidFill>
                      </w14:textFill>
                    </w:rPr>
                    <w:t>，开</w:t>
                  </w:r>
                  <w:r>
                    <w:rPr>
                      <w:color w:val="000000" w:themeColor="text1"/>
                      <w:sz w:val="21"/>
                      <w:szCs w:val="21"/>
                      <w14:textFill>
                        <w14:solidFill>
                          <w14:schemeClr w14:val="tx1"/>
                        </w14:solidFill>
                      </w14:textFill>
                    </w:rPr>
                    <w:t>展地下水专项评价工作</w:t>
                  </w:r>
                </w:p>
              </w:tc>
              <w:tc>
                <w:tcPr>
                  <w:tcW w:w="2293" w:type="dxa"/>
                  <w:noWrap w:val="0"/>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本项目不涉及集中式饮用水水源和热水、矿泉水、温泉等特殊地下水资源保护区，不开展专项评价</w:t>
                  </w:r>
                </w:p>
              </w:tc>
              <w:tc>
                <w:tcPr>
                  <w:tcW w:w="1145" w:type="dxa"/>
                  <w:noWrap w:val="0"/>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r>
          </w:tbl>
          <w:p>
            <w:pPr>
              <w:autoSpaceDE w:val="0"/>
              <w:autoSpaceDN w:val="0"/>
              <w:adjustRightInd w:val="0"/>
              <w:snapToGrid w:val="0"/>
              <w:jc w:val="left"/>
              <w:rPr>
                <w:color w:val="000000" w:themeColor="text1"/>
                <w:kern w:val="0"/>
                <w:sz w:val="24"/>
                <w14:textFill>
                  <w14:solidFill>
                    <w14:schemeClr w14:val="tx1"/>
                  </w14:solidFill>
                </w14:textFill>
              </w:rPr>
            </w:pPr>
            <w:r>
              <w:rPr>
                <w:color w:val="000000" w:themeColor="text1"/>
                <w:sz w:val="18"/>
                <w:szCs w:val="18"/>
                <w14:textFill>
                  <w14:solidFill>
                    <w14:schemeClr w14:val="tx1"/>
                  </w14:solidFill>
                </w14:textFill>
              </w:rPr>
              <w:t>注：1.废气中有毒有害污染物指纳入《有毒有害大气污染物名录》的污染物（不包括无排放标准的污染物）</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2.环境空气保护目标指自然保护区、风景名胜区、居住区、文化区和农村地区中人群较集中的区域</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3.临界量及其计算方法可参考《建设项目环境风险评价技术导则》（HJ 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jc w:val="center"/>
        </w:trPr>
        <w:tc>
          <w:tcPr>
            <w:tcW w:w="2261"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377" w:type="dxa"/>
            <w:gridSpan w:val="3"/>
            <w:vAlign w:val="center"/>
          </w:tcPr>
          <w:p>
            <w:pPr>
              <w:keepNext w:val="0"/>
              <w:keepLines w:val="0"/>
              <w:pageBreakBefore w:val="0"/>
              <w:widowControl w:val="0"/>
              <w:kinsoku/>
              <w:wordWrap/>
              <w:overflowPunct/>
              <w:topLinePunct w:val="0"/>
              <w:bidi w:val="0"/>
              <w:adjustRightInd w:val="0"/>
              <w:snapToGrid w:val="0"/>
              <w:spacing w:line="240" w:lineRule="auto"/>
              <w:ind w:firstLine="480" w:firstLineChars="200"/>
              <w:jc w:val="center"/>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6" w:hRule="atLeast"/>
          <w:jc w:val="center"/>
        </w:trPr>
        <w:tc>
          <w:tcPr>
            <w:tcW w:w="2261"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7377" w:type="dxa"/>
            <w:gridSpan w:val="3"/>
            <w:vAlign w:val="center"/>
          </w:tcPr>
          <w:p>
            <w:pPr>
              <w:keepNext w:val="0"/>
              <w:keepLines w:val="0"/>
              <w:pageBreakBefore w:val="0"/>
              <w:widowControl w:val="0"/>
              <w:kinsoku/>
              <w:wordWrap/>
              <w:overflowPunct/>
              <w:topLinePunct w:val="0"/>
              <w:bidi w:val="0"/>
              <w:spacing w:line="240" w:lineRule="auto"/>
              <w:ind w:firstLine="480" w:firstLineChars="200"/>
              <w:jc w:val="center"/>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jc w:val="center"/>
        </w:trPr>
        <w:tc>
          <w:tcPr>
            <w:tcW w:w="2261"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w:t>
            </w:r>
          </w:p>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影响评价符合性分析</w:t>
            </w:r>
          </w:p>
        </w:tc>
        <w:tc>
          <w:tcPr>
            <w:tcW w:w="7377" w:type="dxa"/>
            <w:gridSpan w:val="3"/>
            <w:vAlign w:val="center"/>
          </w:tcPr>
          <w:p>
            <w:pPr>
              <w:pStyle w:val="110"/>
              <w:keepNext w:val="0"/>
              <w:keepLines w:val="0"/>
              <w:pageBreakBefore w:val="0"/>
              <w:widowControl w:val="0"/>
              <w:kinsoku/>
              <w:wordWrap/>
              <w:overflowPunct/>
              <w:topLinePunct w:val="0"/>
              <w:bidi w:val="0"/>
              <w:spacing w:line="240" w:lineRule="auto"/>
              <w:ind w:firstLine="48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2261"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7377" w:type="dxa"/>
            <w:gridSpan w:val="3"/>
            <w:vAlign w:val="center"/>
          </w:tcPr>
          <w:p>
            <w:pPr>
              <w:spacing w:line="360" w:lineRule="auto"/>
              <w:ind w:firstLine="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1、环境影响评价类别判定</w:t>
            </w:r>
          </w:p>
          <w:p>
            <w:pPr>
              <w:spacing w:line="360" w:lineRule="auto"/>
              <w:ind w:firstLine="480"/>
              <w:rPr>
                <w:color w:val="000000" w:themeColor="text1"/>
                <w:sz w:val="24"/>
                <w14:textFill>
                  <w14:solidFill>
                    <w14:schemeClr w14:val="tx1"/>
                  </w14:solidFill>
                </w14:textFill>
              </w:rPr>
            </w:pPr>
            <w:r>
              <w:rPr>
                <w:rFonts w:hint="eastAsia"/>
                <w:color w:val="000000" w:themeColor="text1"/>
                <w:sz w:val="24"/>
                <w:highlight w:val="none"/>
                <w14:textFill>
                  <w14:solidFill>
                    <w14:schemeClr w14:val="tx1"/>
                  </w14:solidFill>
                </w14:textFill>
              </w:rPr>
              <w:t>本项目新建1台</w:t>
            </w:r>
            <w:r>
              <w:rPr>
                <w:rFonts w:hint="eastAsia"/>
                <w:color w:val="000000" w:themeColor="text1"/>
                <w:sz w:val="24"/>
                <w:highlight w:val="none"/>
                <w:lang w:val="en-US" w:eastAsia="zh-CN"/>
                <w14:textFill>
                  <w14:solidFill>
                    <w14:schemeClr w14:val="tx1"/>
                  </w14:solidFill>
                </w14:textFill>
              </w:rPr>
              <w:t>4.2MW</w:t>
            </w:r>
            <w:r>
              <w:rPr>
                <w:rFonts w:hint="eastAsia"/>
                <w:color w:val="000000" w:themeColor="text1"/>
                <w:sz w:val="24"/>
                <w:highlight w:val="none"/>
                <w14:textFill>
                  <w14:solidFill>
                    <w14:schemeClr w14:val="tx1"/>
                  </w14:solidFill>
                </w14:textFill>
              </w:rPr>
              <w:t>燃生物质</w:t>
            </w:r>
            <w:r>
              <w:rPr>
                <w:rFonts w:hint="eastAsia"/>
                <w:color w:val="000000" w:themeColor="text1"/>
                <w:sz w:val="24"/>
                <w:highlight w:val="none"/>
                <w:lang w:val="en-US" w:eastAsia="zh-CN"/>
                <w14:textFill>
                  <w14:solidFill>
                    <w14:schemeClr w14:val="tx1"/>
                  </w14:solidFill>
                </w14:textFill>
              </w:rPr>
              <w:t>热水锅炉和1台2.8MW（备用）</w:t>
            </w:r>
            <w:r>
              <w:rPr>
                <w:rFonts w:hint="eastAsia"/>
                <w:color w:val="000000" w:themeColor="text1"/>
                <w:sz w:val="24"/>
                <w:highlight w:val="none"/>
                <w14:textFill>
                  <w14:solidFill>
                    <w14:schemeClr w14:val="tx1"/>
                  </w14:solidFill>
                </w14:textFill>
              </w:rPr>
              <w:t>燃生物质</w:t>
            </w:r>
            <w:r>
              <w:rPr>
                <w:rFonts w:hint="eastAsia"/>
                <w:color w:val="000000" w:themeColor="text1"/>
                <w:sz w:val="24"/>
                <w:highlight w:val="none"/>
                <w:lang w:val="en-US" w:eastAsia="zh-CN"/>
                <w14:textFill>
                  <w14:solidFill>
                    <w14:schemeClr w14:val="tx1"/>
                  </w14:solidFill>
                </w14:textFill>
              </w:rPr>
              <w:t>热水锅炉</w:t>
            </w:r>
            <w:r>
              <w:rPr>
                <w:rFonts w:hint="eastAsia"/>
                <w:color w:val="000000" w:themeColor="text1"/>
                <w:sz w:val="24"/>
                <w:highlight w:val="none"/>
                <w14:textFill>
                  <w14:solidFill>
                    <w14:schemeClr w14:val="tx1"/>
                  </w14:solidFill>
                </w14:textFill>
              </w:rPr>
              <w:t>，</w:t>
            </w:r>
            <w:r>
              <w:rPr>
                <w:color w:val="000000" w:themeColor="text1"/>
                <w:sz w:val="24"/>
                <w14:textFill>
                  <w14:solidFill>
                    <w14:schemeClr w14:val="tx1"/>
                  </w14:solidFill>
                </w14:textFill>
              </w:rPr>
              <w:t>根据《建设项目环境影响评价分类管理名录（2021年版）》（生态环境部令第16号）相关规定，“四十</w:t>
            </w:r>
            <w:r>
              <w:rPr>
                <w:rFonts w:hint="eastAsia"/>
                <w:color w:val="000000" w:themeColor="text1"/>
                <w:sz w:val="24"/>
                <w14:textFill>
                  <w14:solidFill>
                    <w14:schemeClr w14:val="tx1"/>
                  </w14:solidFill>
                </w14:textFill>
              </w:rPr>
              <w:t>一</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电力、热力生产和供应业</w:t>
            </w:r>
            <w:r>
              <w:rPr>
                <w:color w:val="000000" w:themeColor="text1"/>
                <w:sz w:val="24"/>
                <w14:textFill>
                  <w14:solidFill>
                    <w14:schemeClr w14:val="tx1"/>
                  </w14:solidFill>
                </w14:textFill>
              </w:rPr>
              <w:t>-91</w:t>
            </w:r>
            <w:r>
              <w:rPr>
                <w:rFonts w:hint="eastAsia"/>
                <w:color w:val="000000" w:themeColor="text1"/>
                <w:sz w:val="24"/>
                <w14:textFill>
                  <w14:solidFill>
                    <w14:schemeClr w14:val="tx1"/>
                  </w14:solidFill>
                </w14:textFill>
              </w:rPr>
              <w:t>热力生产和供应工程（包括建设单位自建自用的供热工程）</w:t>
            </w:r>
            <w:r>
              <w:rPr>
                <w:color w:val="000000" w:themeColor="text1"/>
                <w:sz w:val="24"/>
                <w14:textFill>
                  <w14:solidFill>
                    <w14:schemeClr w14:val="tx1"/>
                  </w14:solidFill>
                </w14:textFill>
              </w:rPr>
              <w:t>中“</w:t>
            </w:r>
            <w:r>
              <w:rPr>
                <w:rFonts w:hint="eastAsia"/>
                <w:color w:val="000000" w:themeColor="text1"/>
                <w:sz w:val="24"/>
                <w14:textFill>
                  <w14:solidFill>
                    <w14:schemeClr w14:val="tx1"/>
                  </w14:solidFill>
                </w14:textFill>
              </w:rPr>
              <w:t>燃煤、燃油锅炉总容量6</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吨/小时（4</w:t>
            </w:r>
            <w:r>
              <w:rPr>
                <w:color w:val="000000" w:themeColor="text1"/>
                <w:sz w:val="24"/>
                <w14:textFill>
                  <w14:solidFill>
                    <w14:schemeClr w14:val="tx1"/>
                  </w14:solidFill>
                </w14:textFill>
              </w:rPr>
              <w:t>5.5</w:t>
            </w:r>
            <w:r>
              <w:rPr>
                <w:rFonts w:hint="eastAsia"/>
                <w:color w:val="000000" w:themeColor="text1"/>
                <w:sz w:val="24"/>
                <w14:textFill>
                  <w14:solidFill>
                    <w14:schemeClr w14:val="tx1"/>
                  </w14:solidFill>
                </w14:textFill>
              </w:rPr>
              <w:t>兆瓦）以上的</w:t>
            </w:r>
            <w:r>
              <w:rPr>
                <w:color w:val="000000" w:themeColor="text1"/>
                <w:sz w:val="24"/>
                <w14:textFill>
                  <w14:solidFill>
                    <w14:schemeClr w14:val="tx1"/>
                  </w14:solidFill>
                </w14:textFill>
              </w:rPr>
              <w:t>”应编制环境影响报告书</w:t>
            </w:r>
            <w:r>
              <w:rPr>
                <w:rFonts w:hint="eastAsia"/>
                <w:color w:val="000000" w:themeColor="text1"/>
                <w:sz w:val="24"/>
                <w14:textFill>
                  <w14:solidFill>
                    <w14:schemeClr w14:val="tx1"/>
                  </w14:solidFill>
                </w14:textFill>
              </w:rPr>
              <w:t>；‘燃煤、燃油锅炉总容量6</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吨/小时（4</w:t>
            </w:r>
            <w:r>
              <w:rPr>
                <w:color w:val="000000" w:themeColor="text1"/>
                <w:sz w:val="24"/>
                <w14:textFill>
                  <w14:solidFill>
                    <w14:schemeClr w14:val="tx1"/>
                  </w14:solidFill>
                </w14:textFill>
              </w:rPr>
              <w:t>5.5</w:t>
            </w:r>
            <w:r>
              <w:rPr>
                <w:rFonts w:hint="eastAsia"/>
                <w:color w:val="000000" w:themeColor="text1"/>
                <w:sz w:val="24"/>
                <w14:textFill>
                  <w14:solidFill>
                    <w14:schemeClr w14:val="tx1"/>
                  </w14:solidFill>
                </w14:textFill>
              </w:rPr>
              <w:t>兆瓦）以下的，天然气锅炉总容量1吨/小时（0</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兆瓦）以上的；使用高污染燃料的</w:t>
            </w:r>
            <w:r>
              <w:rPr>
                <w:color w:val="000000" w:themeColor="text1"/>
                <w:sz w:val="24"/>
                <w14:textFill>
                  <w14:solidFill>
                    <w14:schemeClr w14:val="tx1"/>
                  </w14:solidFill>
                </w14:textFill>
              </w:rPr>
              <w:t>”应编制环境影响报告表</w:t>
            </w:r>
            <w:r>
              <w:rPr>
                <w:rFonts w:hint="eastAsia"/>
                <w:color w:val="000000" w:themeColor="text1"/>
                <w:sz w:val="24"/>
                <w14:textFill>
                  <w14:solidFill>
                    <w14:schemeClr w14:val="tx1"/>
                  </w14:solidFill>
                </w14:textFill>
              </w:rPr>
              <w:t>，因此本项目应编制环境影响报告表。</w:t>
            </w:r>
          </w:p>
          <w:p>
            <w:pPr>
              <w:spacing w:line="360" w:lineRule="auto"/>
              <w:ind w:firstLine="48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2、产业政策相符性</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本项目属于</w:t>
            </w:r>
            <w:r>
              <w:rPr>
                <w:rFonts w:hint="eastAsia"/>
                <w:color w:val="000000" w:themeColor="text1"/>
                <w:sz w:val="24"/>
                <w14:textFill>
                  <w14:solidFill>
                    <w14:schemeClr w14:val="tx1"/>
                  </w14:solidFill>
                </w14:textFill>
              </w:rPr>
              <w:t>热力生产和供应工程</w:t>
            </w:r>
            <w:r>
              <w:rPr>
                <w:color w:val="000000" w:themeColor="text1"/>
                <w:sz w:val="24"/>
                <w14:textFill>
                  <w14:solidFill>
                    <w14:schemeClr w14:val="tx1"/>
                  </w14:solidFill>
                </w14:textFill>
              </w:rPr>
              <w:t>，不属于《产业结构调整指导目录（</w:t>
            </w:r>
            <w:r>
              <w:rPr>
                <w:rFonts w:hint="eastAsia"/>
                <w:color w:val="000000" w:themeColor="text1"/>
                <w:sz w:val="24"/>
                <w14:textFill>
                  <w14:solidFill>
                    <w14:schemeClr w14:val="tx1"/>
                  </w14:solidFill>
                </w14:textFill>
              </w:rPr>
              <w:t>2024</w:t>
            </w:r>
            <w:r>
              <w:rPr>
                <w:color w:val="000000" w:themeColor="text1"/>
                <w:sz w:val="24"/>
                <w14:textFill>
                  <w14:solidFill>
                    <w14:schemeClr w14:val="tx1"/>
                  </w14:solidFill>
                </w14:textFill>
              </w:rPr>
              <w:t>年本）》中鼓励类、限制类及淘汰类项目，</w:t>
            </w:r>
            <w:r>
              <w:rPr>
                <w:rFonts w:hint="eastAsia"/>
                <w:color w:val="000000" w:themeColor="text1"/>
                <w:sz w:val="24"/>
                <w:lang w:val="en-US" w:eastAsia="zh-CN"/>
                <w14:textFill>
                  <w14:solidFill>
                    <w14:schemeClr w14:val="tx1"/>
                  </w14:solidFill>
                </w14:textFill>
              </w:rPr>
              <w:t>且本项目符合国家有关法律、法规和政策，</w:t>
            </w:r>
            <w:r>
              <w:rPr>
                <w:color w:val="000000" w:themeColor="text1"/>
                <w:sz w:val="24"/>
                <w14:textFill>
                  <w14:solidFill>
                    <w14:schemeClr w14:val="tx1"/>
                  </w14:solidFill>
                </w14:textFill>
              </w:rPr>
              <w:t>因此本项目属于允许类项目，</w:t>
            </w:r>
            <w:r>
              <w:rPr>
                <w:rFonts w:hint="eastAsia"/>
                <w:color w:val="000000" w:themeColor="text1"/>
                <w:sz w:val="24"/>
                <w:lang w:val="en-US" w:eastAsia="zh-CN"/>
                <w14:textFill>
                  <w14:solidFill>
                    <w14:schemeClr w14:val="tx1"/>
                  </w14:solidFill>
                </w14:textFill>
              </w:rPr>
              <w:t>根据</w:t>
            </w:r>
            <w:r>
              <w:rPr>
                <w:color w:val="000000" w:themeColor="text1"/>
                <w:sz w:val="24"/>
                <w14:textFill>
                  <w14:solidFill>
                    <w14:schemeClr w14:val="tx1"/>
                  </w14:solidFill>
                </w14:textFill>
              </w:rPr>
              <w:t>《产业结构调整指导目录（</w:t>
            </w:r>
            <w:r>
              <w:rPr>
                <w:rFonts w:hint="eastAsia"/>
                <w:color w:val="000000" w:themeColor="text1"/>
                <w:sz w:val="24"/>
                <w14:textFill>
                  <w14:solidFill>
                    <w14:schemeClr w14:val="tx1"/>
                  </w14:solidFill>
                </w14:textFill>
              </w:rPr>
              <w:t>2024</w:t>
            </w:r>
            <w:r>
              <w:rPr>
                <w:color w:val="000000" w:themeColor="text1"/>
                <w:sz w:val="24"/>
                <w14:textFill>
                  <w14:solidFill>
                    <w14:schemeClr w14:val="tx1"/>
                  </w14:solidFill>
                </w14:textFill>
              </w:rPr>
              <w:t>年本）》</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每小时2蒸吨及以下生物质锅炉和每小时35蒸吨及以</w:t>
            </w:r>
            <w:r>
              <w:rPr>
                <w:rFonts w:hint="eastAsia"/>
                <w:color w:val="000000" w:themeColor="text1"/>
                <w:sz w:val="24"/>
                <w:highlight w:val="none"/>
                <w:lang w:val="en-US" w:eastAsia="zh-CN"/>
                <w14:textFill>
                  <w14:solidFill>
                    <w14:schemeClr w14:val="tx1"/>
                  </w14:solidFill>
                </w14:textFill>
              </w:rPr>
              <w:t>下固定炉排式生物质锅炉为淘汰类设备，</w:t>
            </w:r>
            <w:r>
              <w:rPr>
                <w:rFonts w:hint="eastAsia"/>
                <w:color w:val="000000" w:themeColor="text1"/>
                <w:sz w:val="24"/>
                <w:highlight w:val="none"/>
                <w14:textFill>
                  <w14:solidFill>
                    <w14:schemeClr w14:val="tx1"/>
                  </w14:solidFill>
                </w14:textFill>
              </w:rPr>
              <w:t>本项目供热锅炉为1台</w:t>
            </w:r>
            <w:r>
              <w:rPr>
                <w:rFonts w:hint="eastAsia"/>
                <w:color w:val="000000" w:themeColor="text1"/>
                <w:sz w:val="24"/>
                <w:highlight w:val="none"/>
                <w:lang w:val="en-US" w:eastAsia="zh-CN"/>
                <w14:textFill>
                  <w14:solidFill>
                    <w14:schemeClr w14:val="tx1"/>
                  </w14:solidFill>
                </w14:textFill>
              </w:rPr>
              <w:t>4.2MW</w:t>
            </w:r>
            <w:r>
              <w:rPr>
                <w:rFonts w:hint="eastAsia"/>
                <w:color w:val="000000" w:themeColor="text1"/>
                <w:sz w:val="24"/>
                <w:highlight w:val="none"/>
                <w14:textFill>
                  <w14:solidFill>
                    <w14:schemeClr w14:val="tx1"/>
                  </w14:solidFill>
                </w14:textFill>
              </w:rPr>
              <w:t>燃生物质</w:t>
            </w:r>
            <w:r>
              <w:rPr>
                <w:rFonts w:hint="eastAsia"/>
                <w:color w:val="000000" w:themeColor="text1"/>
                <w:sz w:val="24"/>
                <w:highlight w:val="none"/>
                <w:lang w:val="en-US" w:eastAsia="zh-CN"/>
                <w14:textFill>
                  <w14:solidFill>
                    <w14:schemeClr w14:val="tx1"/>
                  </w14:solidFill>
                </w14:textFill>
              </w:rPr>
              <w:t>热水锅炉和1台2.8MW（备用）</w:t>
            </w:r>
            <w:r>
              <w:rPr>
                <w:rFonts w:hint="eastAsia"/>
                <w:color w:val="000000" w:themeColor="text1"/>
                <w:sz w:val="24"/>
                <w:highlight w:val="none"/>
                <w14:textFill>
                  <w14:solidFill>
                    <w14:schemeClr w14:val="tx1"/>
                  </w14:solidFill>
                </w14:textFill>
              </w:rPr>
              <w:t>燃生物质</w:t>
            </w:r>
            <w:r>
              <w:rPr>
                <w:rFonts w:hint="eastAsia"/>
                <w:color w:val="000000" w:themeColor="text1"/>
                <w:sz w:val="24"/>
                <w:highlight w:val="none"/>
                <w:lang w:val="en-US" w:eastAsia="zh-CN"/>
                <w14:textFill>
                  <w14:solidFill>
                    <w14:schemeClr w14:val="tx1"/>
                  </w14:solidFill>
                </w14:textFill>
              </w:rPr>
              <w:t>热水锅炉</w:t>
            </w:r>
            <w:r>
              <w:rPr>
                <w:rFonts w:hint="eastAsia"/>
                <w:color w:val="000000" w:themeColor="text1"/>
                <w:sz w:val="24"/>
                <w:highlight w:val="none"/>
                <w14:textFill>
                  <w14:solidFill>
                    <w14:schemeClr w14:val="tx1"/>
                  </w14:solidFill>
                </w14:textFill>
              </w:rPr>
              <w:t>，不属于淘</w:t>
            </w:r>
            <w:r>
              <w:rPr>
                <w:rFonts w:hint="eastAsia"/>
                <w:color w:val="000000" w:themeColor="text1"/>
                <w:sz w:val="24"/>
                <w14:textFill>
                  <w14:solidFill>
                    <w14:schemeClr w14:val="tx1"/>
                  </w14:solidFill>
                </w14:textFill>
              </w:rPr>
              <w:t>汰类设备，因此本</w:t>
            </w:r>
            <w:r>
              <w:rPr>
                <w:color w:val="000000" w:themeColor="text1"/>
                <w:sz w:val="24"/>
                <w14:textFill>
                  <w14:solidFill>
                    <w14:schemeClr w14:val="tx1"/>
                  </w14:solidFill>
                </w14:textFill>
              </w:rPr>
              <w:t>项目建设符合国家产业政策。</w:t>
            </w:r>
            <w:r>
              <w:rPr>
                <w:rFonts w:hint="eastAsia"/>
                <w:color w:val="000000" w:themeColor="text1"/>
                <w:sz w:val="24"/>
                <w14:textFill>
                  <w14:solidFill>
                    <w14:schemeClr w14:val="tx1"/>
                  </w14:solidFill>
                </w14:textFill>
              </w:rPr>
              <w:t xml:space="preserve"> </w:t>
            </w:r>
          </w:p>
          <w:p>
            <w:pPr>
              <w:spacing w:line="360" w:lineRule="auto"/>
              <w:ind w:firstLine="482"/>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3、</w:t>
            </w:r>
            <w:r>
              <w:rPr>
                <w:rFonts w:hint="eastAsia"/>
                <w:b/>
                <w:bCs/>
                <w:color w:val="000000" w:themeColor="text1"/>
                <w:sz w:val="24"/>
                <w:highlight w:val="none"/>
                <w14:textFill>
                  <w14:solidFill>
                    <w14:schemeClr w14:val="tx1"/>
                  </w14:solidFill>
                </w14:textFill>
              </w:rPr>
              <w:t>选址合理性</w:t>
            </w:r>
            <w:r>
              <w:rPr>
                <w:b/>
                <w:bCs/>
                <w:color w:val="000000" w:themeColor="text1"/>
                <w:sz w:val="24"/>
                <w:highlight w:val="none"/>
                <w14:textFill>
                  <w14:solidFill>
                    <w14:schemeClr w14:val="tx1"/>
                  </w14:solidFill>
                </w14:textFill>
              </w:rPr>
              <w:t>分析</w:t>
            </w:r>
          </w:p>
          <w:p>
            <w:pPr>
              <w:spacing w:line="360" w:lineRule="auto"/>
              <w:ind w:firstLine="480"/>
              <w:rPr>
                <w:color w:val="000000" w:themeColor="text1"/>
                <w:sz w:val="24"/>
                <w14:textFill>
                  <w14:solidFill>
                    <w14:schemeClr w14:val="tx1"/>
                  </w14:solidFill>
                </w14:textFill>
              </w:rPr>
            </w:pPr>
            <w:r>
              <w:rPr>
                <w:color w:val="000000" w:themeColor="text1"/>
                <w:sz w:val="24"/>
                <w:highlight w:val="none"/>
                <w14:textFill>
                  <w14:solidFill>
                    <w14:schemeClr w14:val="tx1"/>
                  </w14:solidFill>
                </w14:textFill>
              </w:rPr>
              <w:t>本项目位于</w:t>
            </w:r>
            <w:r>
              <w:rPr>
                <w:rFonts w:hint="eastAsia" w:eastAsia="宋体"/>
                <w:color w:val="000000" w:themeColor="text1"/>
                <w:sz w:val="24"/>
                <w:highlight w:val="none"/>
                <w14:textFill>
                  <w14:solidFill>
                    <w14:schemeClr w14:val="tx1"/>
                  </w14:solidFill>
                </w14:textFill>
              </w:rPr>
              <w:t>黑龙江省伊春市</w:t>
            </w:r>
            <w:r>
              <w:rPr>
                <w:rFonts w:hint="eastAsia" w:eastAsia="宋体"/>
                <w:color w:val="000000" w:themeColor="text1"/>
                <w:sz w:val="24"/>
                <w:highlight w:val="none"/>
                <w:lang w:val="en-US" w:eastAsia="zh-CN"/>
                <w14:textFill>
                  <w14:solidFill>
                    <w14:schemeClr w14:val="tx1"/>
                  </w14:solidFill>
                </w14:textFill>
              </w:rPr>
              <w:t>嘉荫县向阳乡雪水温村，锅炉房位于</w:t>
            </w:r>
            <w:r>
              <w:rPr>
                <w:rFonts w:hint="eastAsia" w:eastAsia="宋体"/>
                <w:color w:val="000000" w:themeColor="text1"/>
                <w:sz w:val="24"/>
                <w:highlight w:val="none"/>
                <w:lang w:eastAsia="zh-CN"/>
                <w14:textFill>
                  <w14:solidFill>
                    <w14:schemeClr w14:val="tx1"/>
                  </w14:solidFill>
                </w14:textFill>
              </w:rPr>
              <w:t>嘉荫县向阳乡人民政府</w:t>
            </w:r>
            <w:r>
              <w:rPr>
                <w:rFonts w:hint="eastAsia" w:eastAsia="宋体"/>
                <w:color w:val="000000" w:themeColor="text1"/>
                <w:sz w:val="24"/>
                <w:highlight w:val="none"/>
                <w:lang w:val="en-US" w:eastAsia="zh-CN"/>
                <w14:textFill>
                  <w14:solidFill>
                    <w14:schemeClr w14:val="tx1"/>
                  </w14:solidFill>
                </w14:textFill>
              </w:rPr>
              <w:t>院内</w:t>
            </w:r>
            <w:r>
              <w:rPr>
                <w:rFonts w:hint="eastAsia" w:eastAsia="宋体"/>
                <w:color w:val="000000" w:themeColor="text1"/>
                <w:sz w:val="24"/>
                <w:highlight w:val="none"/>
                <w:lang w:eastAsia="zh-CN"/>
                <w14:textFill>
                  <w14:solidFill>
                    <w14:schemeClr w14:val="tx1"/>
                  </w14:solidFill>
                </w14:textFill>
              </w:rPr>
              <w:t>，</w:t>
            </w:r>
            <w:r>
              <w:rPr>
                <w:rFonts w:hint="eastAsia" w:eastAsia="宋体"/>
                <w:color w:val="000000" w:themeColor="text1"/>
                <w:sz w:val="24"/>
                <w:highlight w:val="none"/>
                <w14:textFill>
                  <w14:solidFill>
                    <w14:schemeClr w14:val="tx1"/>
                  </w14:solidFill>
                </w14:textFill>
              </w:rPr>
              <w:t>项</w:t>
            </w:r>
            <w:r>
              <w:rPr>
                <w:rFonts w:hint="eastAsia"/>
                <w:color w:val="000000" w:themeColor="text1"/>
                <w:sz w:val="24"/>
                <w:highlight w:val="none"/>
                <w:lang w:bidi="ar"/>
                <w14:textFill>
                  <w14:solidFill>
                    <w14:schemeClr w14:val="tx1"/>
                  </w14:solidFill>
                </w14:textFill>
              </w:rPr>
              <w:t>目</w:t>
            </w:r>
            <w:r>
              <w:rPr>
                <w:color w:val="000000" w:themeColor="text1"/>
                <w:sz w:val="24"/>
                <w:highlight w:val="none"/>
                <w14:textFill>
                  <w14:solidFill>
                    <w14:schemeClr w14:val="tx1"/>
                  </w14:solidFill>
                </w14:textFill>
              </w:rPr>
              <w:t>北侧</w:t>
            </w:r>
            <w:r>
              <w:rPr>
                <w:rFonts w:hint="eastAsia"/>
                <w:color w:val="000000" w:themeColor="text1"/>
                <w:sz w:val="24"/>
                <w:highlight w:val="none"/>
                <w:lang w:val="en-US" w:eastAsia="zh-CN"/>
                <w14:textFill>
                  <w14:solidFill>
                    <w14:schemeClr w14:val="tx1"/>
                  </w14:solidFill>
                </w14:textFill>
              </w:rPr>
              <w:t>为为俄罗斯风情园，西侧、东侧均</w:t>
            </w:r>
            <w:r>
              <w:rPr>
                <w:color w:val="000000" w:themeColor="text1"/>
                <w:sz w:val="24"/>
                <w:highlight w:val="none"/>
                <w14:textFill>
                  <w14:solidFill>
                    <w14:schemeClr w14:val="tx1"/>
                  </w14:solidFill>
                </w14:textFill>
              </w:rPr>
              <w:t>为</w:t>
            </w:r>
            <w:r>
              <w:rPr>
                <w:rFonts w:hint="eastAsia" w:eastAsia="宋体"/>
                <w:color w:val="000000" w:themeColor="text1"/>
                <w:sz w:val="24"/>
                <w:highlight w:val="none"/>
                <w:lang w:val="en-US" w:eastAsia="zh-CN"/>
                <w14:textFill>
                  <w14:solidFill>
                    <w14:schemeClr w14:val="tx1"/>
                  </w14:solidFill>
                </w14:textFill>
              </w:rPr>
              <w:t>向阳乡居民</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南侧为</w:t>
            </w:r>
            <w:r>
              <w:rPr>
                <w:rFonts w:hint="eastAsia"/>
                <w:color w:val="000000" w:themeColor="text1"/>
                <w:sz w:val="24"/>
                <w:highlight w:val="none"/>
                <w:lang w:val="en-US" w:eastAsia="zh-CN"/>
                <w14:textFill>
                  <w14:solidFill>
                    <w14:schemeClr w14:val="tx1"/>
                  </w14:solidFill>
                </w14:textFill>
              </w:rPr>
              <w:t>江山路</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本项目锅炉采用低氮燃烧技术，烟气经旋风除尘器+布袋除尘器处理后经</w:t>
            </w:r>
            <w:r>
              <w:rPr>
                <w:rFonts w:hint="eastAsia"/>
                <w:color w:val="000000" w:themeColor="text1"/>
                <w:sz w:val="24"/>
                <w:highlight w:val="none"/>
                <w:lang w:val="en-US" w:eastAsia="zh-CN"/>
                <w14:textFill>
                  <w14:solidFill>
                    <w14:schemeClr w14:val="tx1"/>
                  </w14:solidFill>
                </w14:textFill>
              </w:rPr>
              <w:t>40</w:t>
            </w:r>
            <w:r>
              <w:rPr>
                <w:rFonts w:hint="eastAsia"/>
                <w:color w:val="000000" w:themeColor="text1"/>
                <w:sz w:val="24"/>
                <w:highlight w:val="none"/>
                <w14:textFill>
                  <w14:solidFill>
                    <w14:schemeClr w14:val="tx1"/>
                  </w14:solidFill>
                </w14:textFill>
              </w:rPr>
              <w:t>m高烟囱排放，污染物排放满足《锅炉大气污染物排放标准》</w:t>
            </w:r>
            <w:r>
              <w:rPr>
                <w:rFonts w:hint="eastAsia"/>
                <w:color w:val="000000" w:themeColor="text1"/>
                <w:sz w:val="24"/>
                <w14:textFill>
                  <w14:solidFill>
                    <w14:schemeClr w14:val="tx1"/>
                  </w14:solidFill>
                </w14:textFill>
              </w:rPr>
              <w:t>（GB13271-2014）表2燃煤锅炉大气污染物排放限值要求。采取措施后厂区内污染物排放量小，对环境空气影响较小，</w:t>
            </w:r>
            <w:r>
              <w:rPr>
                <w:color w:val="000000" w:themeColor="text1"/>
                <w:sz w:val="24"/>
                <w14:textFill>
                  <w14:solidFill>
                    <w14:schemeClr w14:val="tx1"/>
                  </w14:solidFill>
                </w14:textFill>
              </w:rPr>
              <w:t>不会对周围居民生活造成明显影响。综上所述，本项目选址较为合理。</w:t>
            </w:r>
          </w:p>
          <w:p>
            <w:pPr>
              <w:spacing w:line="360" w:lineRule="auto"/>
              <w:ind w:firstLine="482"/>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4、</w:t>
            </w:r>
            <w:r>
              <w:rPr>
                <w:rFonts w:hint="eastAsia"/>
                <w:b/>
                <w:bCs/>
                <w:color w:val="000000" w:themeColor="text1"/>
                <w:sz w:val="24"/>
                <w:highlight w:val="none"/>
                <w14:textFill>
                  <w14:solidFill>
                    <w14:schemeClr w14:val="tx1"/>
                  </w14:solidFill>
                </w14:textFill>
              </w:rPr>
              <w:t>与生态环境分区管控</w:t>
            </w:r>
            <w:r>
              <w:rPr>
                <w:b/>
                <w:bCs/>
                <w:color w:val="000000" w:themeColor="text1"/>
                <w:sz w:val="24"/>
                <w:highlight w:val="none"/>
                <w14:textFill>
                  <w14:solidFill>
                    <w14:schemeClr w14:val="tx1"/>
                  </w14:solidFill>
                </w14:textFill>
              </w:rPr>
              <w:t>符合性</w:t>
            </w:r>
            <w:r>
              <w:rPr>
                <w:rFonts w:hint="eastAsia"/>
                <w:b/>
                <w:bCs/>
                <w:color w:val="000000" w:themeColor="text1"/>
                <w:sz w:val="24"/>
                <w:highlight w:val="none"/>
                <w14:textFill>
                  <w14:solidFill>
                    <w14:schemeClr w14:val="tx1"/>
                  </w14:solidFill>
                </w14:textFill>
              </w:rPr>
              <w:t>分析</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根据《黑龙江省生态环境分区管控应用技术指南环境影响评价》中相关规定：“环评文件涉及“三线一单·生态环境分区管控符合性分析采取“一图一表一说明”的表达方式</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本项目具体分析如下：</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①一图</w:t>
            </w:r>
          </w:p>
          <w:p>
            <w:pPr>
              <w:autoSpaceDE w:val="0"/>
              <w:autoSpaceDN w:val="0"/>
              <w:adjustRightInd w:val="0"/>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根据本项目“生态环境分区管控分析报告”，本项目与环境管控单元叠加图如下：</w:t>
            </w:r>
          </w:p>
          <w:p>
            <w:pPr>
              <w:autoSpaceDE w:val="0"/>
              <w:autoSpaceDN w:val="0"/>
              <w:adjustRightInd w:val="0"/>
              <w:snapToGrid w:val="0"/>
              <w:spacing w:line="360" w:lineRule="auto"/>
              <w:ind w:firstLine="420" w:firstLineChars="200"/>
              <w:jc w:val="center"/>
              <w:rPr>
                <w:color w:val="000000" w:themeColor="text1"/>
                <w14:textFill>
                  <w14:solidFill>
                    <w14:schemeClr w14:val="tx1"/>
                  </w14:solidFill>
                </w14:textFill>
              </w:rPr>
            </w:pPr>
            <w:r>
              <w:drawing>
                <wp:inline distT="0" distB="0" distL="114300" distR="114300">
                  <wp:extent cx="3645535" cy="1871345"/>
                  <wp:effectExtent l="0" t="0" r="12065" b="825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9"/>
                          <a:stretch>
                            <a:fillRect/>
                          </a:stretch>
                        </pic:blipFill>
                        <pic:spPr>
                          <a:xfrm>
                            <a:off x="0" y="0"/>
                            <a:ext cx="3645535" cy="1871345"/>
                          </a:xfrm>
                          <a:prstGeom prst="rect">
                            <a:avLst/>
                          </a:prstGeom>
                          <a:noFill/>
                          <a:ln>
                            <a:noFill/>
                          </a:ln>
                        </pic:spPr>
                      </pic:pic>
                    </a:graphicData>
                  </a:graphic>
                </wp:inline>
              </w:drawing>
            </w:r>
          </w:p>
          <w:p>
            <w:pPr>
              <w:autoSpaceDE w:val="0"/>
              <w:autoSpaceDN w:val="0"/>
              <w:adjustRightInd w:val="0"/>
              <w:snapToGrid w:val="0"/>
              <w:spacing w:line="360" w:lineRule="auto"/>
              <w:ind w:firstLine="422" w:firstLineChars="20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图1-1 与环境管控单元位置叠加图</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②一表</w:t>
            </w:r>
          </w:p>
          <w:p>
            <w:pPr>
              <w:autoSpaceDE w:val="0"/>
              <w:autoSpaceDN w:val="0"/>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表1</w:t>
            </w:r>
            <w:r>
              <w:rPr>
                <w:rFonts w:hint="eastAsia"/>
                <w:b/>
                <w:bCs/>
                <w:color w:val="000000" w:themeColor="text1"/>
                <w:szCs w:val="21"/>
                <w:highlight w:val="none"/>
                <w14:textFill>
                  <w14:solidFill>
                    <w14:schemeClr w14:val="tx1"/>
                  </w14:solidFill>
                </w14:textFill>
              </w:rPr>
              <w:t>-1 伊春市嘉荫县</w:t>
            </w:r>
            <w:r>
              <w:rPr>
                <w:b/>
                <w:bCs/>
                <w:color w:val="000000" w:themeColor="text1"/>
                <w:szCs w:val="21"/>
                <w:highlight w:val="none"/>
                <w14:textFill>
                  <w14:solidFill>
                    <w14:schemeClr w14:val="tx1"/>
                  </w14:solidFill>
                </w14:textFill>
              </w:rPr>
              <w:t>生态环境准入清单符合性分析</w:t>
            </w:r>
          </w:p>
          <w:tbl>
            <w:tblPr>
              <w:tblStyle w:val="36"/>
              <w:tblW w:w="7161" w:type="dxa"/>
              <w:jc w:val="center"/>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3868"/>
              <w:gridCol w:w="2133"/>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7161" w:type="dxa"/>
                  <w:gridSpan w:val="3"/>
                  <w:tcBorders>
                    <w:top w:val="single" w:color="auto" w:sz="12" w:space="0"/>
                    <w:left w:val="nil"/>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一、生态保护红线</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6001" w:type="dxa"/>
                  <w:gridSpan w:val="2"/>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hint="eastAsia"/>
                      <w:color w:val="auto"/>
                      <w:sz w:val="21"/>
                      <w:szCs w:val="21"/>
                      <w:lang w:val="en-US" w:eastAsia="zh-CN"/>
                    </w:rPr>
                    <w:t>一般</w:t>
                  </w:r>
                  <w:r>
                    <w:rPr>
                      <w:rFonts w:hint="eastAsia"/>
                      <w:color w:val="auto"/>
                      <w:sz w:val="21"/>
                      <w:szCs w:val="21"/>
                    </w:rPr>
                    <w:t>管控单元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highlight w:val="none"/>
                    </w:rPr>
                  </w:pPr>
                  <w:r>
                    <w:rPr>
                      <w:b/>
                      <w:bCs/>
                      <w:color w:val="auto"/>
                      <w:sz w:val="21"/>
                      <w:szCs w:val="21"/>
                      <w:highlight w:val="none"/>
                      <w:lang w:bidi="ar"/>
                    </w:rPr>
                    <w:t>符合性分析</w:t>
                  </w:r>
                </w:p>
              </w:tc>
              <w:tc>
                <w:tcPr>
                  <w:tcW w:w="6001" w:type="dxa"/>
                  <w:gridSpan w:val="2"/>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highlight w:val="none"/>
                    </w:rPr>
                  </w:pPr>
                  <w:r>
                    <w:rPr>
                      <w:rFonts w:ascii="Times New Roman" w:hAnsi="Times New Roman"/>
                      <w:color w:val="auto"/>
                      <w:sz w:val="21"/>
                      <w:szCs w:val="21"/>
                      <w:highlight w:val="none"/>
                    </w:rPr>
                    <w:t>本项目位于</w:t>
                  </w:r>
                  <w:r>
                    <w:rPr>
                      <w:rFonts w:hint="eastAsia"/>
                      <w:b w:val="0"/>
                      <w:bCs w:val="0"/>
                      <w:color w:val="auto"/>
                      <w:sz w:val="21"/>
                      <w:szCs w:val="21"/>
                      <w:highlight w:val="none"/>
                      <w:lang w:eastAsia="zh-CN"/>
                    </w:rPr>
                    <w:t>黑龙江省伊春市嘉荫县向阳乡雪水温村</w:t>
                  </w:r>
                  <w:r>
                    <w:rPr>
                      <w:rFonts w:ascii="Times New Roman" w:hAnsi="Times New Roman"/>
                      <w:color w:val="auto"/>
                      <w:sz w:val="21"/>
                      <w:szCs w:val="21"/>
                      <w:highlight w:val="none"/>
                    </w:rPr>
                    <w:t>，根据</w:t>
                  </w:r>
                  <w:r>
                    <w:rPr>
                      <w:rFonts w:hint="eastAsia" w:ascii="Times New Roman" w:hAnsi="Times New Roman"/>
                      <w:color w:val="auto"/>
                      <w:sz w:val="21"/>
                      <w:szCs w:val="21"/>
                      <w:highlight w:val="none"/>
                    </w:rPr>
                    <w:t>《</w:t>
                  </w:r>
                  <w:r>
                    <w:rPr>
                      <w:rFonts w:hint="eastAsia" w:ascii="宋体" w:hAnsi="宋体" w:cs="宋体"/>
                      <w:color w:val="auto"/>
                      <w:spacing w:val="-6"/>
                      <w:sz w:val="21"/>
                      <w:szCs w:val="21"/>
                      <w:highlight w:val="none"/>
                      <w:u w:val="none"/>
                      <w:shd w:val="clear" w:color="auto" w:fill="auto"/>
                      <w:lang w:val="en-US" w:eastAsia="zh-CN"/>
                    </w:rPr>
                    <w:t>嘉荫县向阳乡锅炉项目</w:t>
                  </w:r>
                  <w:r>
                    <w:rPr>
                      <w:rFonts w:hint="eastAsia" w:ascii="Times New Roman" w:hAnsi="Times New Roman"/>
                      <w:color w:val="auto"/>
                      <w:sz w:val="21"/>
                      <w:szCs w:val="21"/>
                      <w:highlight w:val="none"/>
                    </w:rPr>
                    <w:t>生态环境分区管控分析报告</w:t>
                  </w:r>
                  <w:r>
                    <w:rPr>
                      <w:rFonts w:ascii="Times New Roman" w:hAnsi="Times New Roman"/>
                      <w:color w:val="auto"/>
                      <w:sz w:val="21"/>
                      <w:szCs w:val="21"/>
                      <w:highlight w:val="none"/>
                    </w:rPr>
                    <w:t>》，所在区域不属于生态保护红线和一般生态空间，各环境要素评价范围内均属于一般管控</w:t>
                  </w:r>
                  <w:r>
                    <w:rPr>
                      <w:rFonts w:hint="eastAsia" w:ascii="Times New Roman" w:hAnsi="Times New Roman"/>
                      <w:color w:val="auto"/>
                      <w:sz w:val="21"/>
                      <w:szCs w:val="21"/>
                      <w:highlight w:val="none"/>
                    </w:rPr>
                    <w:t>单元</w:t>
                  </w:r>
                  <w:r>
                    <w:rPr>
                      <w:rFonts w:ascii="Times New Roman" w:hAnsi="Times New Roman"/>
                      <w:color w:val="auto"/>
                      <w:sz w:val="21"/>
                      <w:szCs w:val="21"/>
                      <w:highlight w:val="none"/>
                    </w:rPr>
                    <w:t>。因此本项目符合生态保护红线要求。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7161" w:type="dxa"/>
                  <w:gridSpan w:val="3"/>
                  <w:tcBorders>
                    <w:top w:val="single" w:color="auto" w:sz="4" w:space="0"/>
                    <w:left w:val="nil"/>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二、环境质量底线</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7161" w:type="dxa"/>
                  <w:gridSpan w:val="3"/>
                  <w:tcBorders>
                    <w:top w:val="single" w:color="auto" w:sz="4" w:space="0"/>
                    <w:left w:val="nil"/>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大气环境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6001" w:type="dxa"/>
                  <w:gridSpan w:val="2"/>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eastAsia="宋体"/>
                      <w:color w:val="auto"/>
                      <w:szCs w:val="21"/>
                    </w:rPr>
                    <w:t>大气环境</w:t>
                  </w:r>
                  <w:r>
                    <w:rPr>
                      <w:rFonts w:hint="eastAsia" w:eastAsia="宋体"/>
                      <w:color w:val="auto"/>
                      <w:szCs w:val="21"/>
                    </w:rPr>
                    <w:t>一般管控区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75" w:hRule="atLeast"/>
                <w:jc w:val="center"/>
              </w:trPr>
              <w:tc>
                <w:tcPr>
                  <w:tcW w:w="5028" w:type="dxa"/>
                  <w:gridSpan w:val="2"/>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rPr>
                    <w:t>管控要求</w:t>
                  </w:r>
                </w:p>
              </w:tc>
              <w:tc>
                <w:tcPr>
                  <w:tcW w:w="2133" w:type="dxa"/>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rPr>
                    <w:t>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空间布局约束</w:t>
                  </w:r>
                </w:p>
              </w:tc>
              <w:tc>
                <w:tcPr>
                  <w:tcW w:w="38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eastAsia="宋体"/>
                      <w:color w:val="auto"/>
                      <w:szCs w:val="21"/>
                      <w:highlight w:val="none"/>
                      <w:lang w:val="zh-CN"/>
                    </w:rPr>
                  </w:pPr>
                  <w:r>
                    <w:rPr>
                      <w:rFonts w:hint="eastAsia" w:eastAsia="宋体"/>
                      <w:color w:val="auto"/>
                      <w:szCs w:val="21"/>
                      <w:highlight w:val="none"/>
                    </w:rPr>
                    <w:t>1.</w:t>
                  </w:r>
                  <w:r>
                    <w:rPr>
                      <w:rFonts w:hint="eastAsia" w:eastAsia="宋体"/>
                      <w:color w:val="auto"/>
                      <w:szCs w:val="21"/>
                      <w:highlight w:val="none"/>
                      <w:lang w:val="zh-CN"/>
                    </w:rPr>
                    <w:t>引导工业项目向开发区集中，促进产业集聚、资源集约、绿色发展。</w:t>
                  </w:r>
                </w:p>
                <w:p>
                  <w:pPr>
                    <w:keepNext w:val="0"/>
                    <w:keepLines w:val="0"/>
                    <w:pageBreakBefore w:val="0"/>
                    <w:widowControl/>
                    <w:kinsoku/>
                    <w:wordWrap/>
                    <w:overflowPunct/>
                    <w:topLinePunct w:val="0"/>
                    <w:autoSpaceDE/>
                    <w:autoSpaceDN/>
                    <w:bidi w:val="0"/>
                    <w:snapToGrid/>
                    <w:ind w:firstLine="0" w:firstLineChars="0"/>
                    <w:jc w:val="center"/>
                    <w:rPr>
                      <w:color w:val="auto"/>
                      <w:sz w:val="21"/>
                      <w:szCs w:val="21"/>
                      <w:highlight w:val="none"/>
                    </w:rPr>
                  </w:pPr>
                  <w:r>
                    <w:rPr>
                      <w:rFonts w:hint="eastAsia" w:eastAsia="宋体"/>
                      <w:color w:val="auto"/>
                      <w:szCs w:val="21"/>
                      <w:highlight w:val="none"/>
                    </w:rPr>
                    <w:t>2.</w:t>
                  </w:r>
                  <w:r>
                    <w:rPr>
                      <w:rFonts w:hint="eastAsia" w:eastAsia="宋体"/>
                      <w:color w:val="auto"/>
                      <w:szCs w:val="21"/>
                      <w:highlight w:val="none"/>
                      <w:lang w:val="zh-CN"/>
                    </w:rPr>
                    <w:t>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2133"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color w:val="auto"/>
                      <w:sz w:val="21"/>
                      <w:szCs w:val="21"/>
                      <w:highlight w:val="none"/>
                    </w:rPr>
                  </w:pPr>
                  <w:r>
                    <w:rPr>
                      <w:rFonts w:eastAsia="宋体"/>
                      <w:color w:val="auto"/>
                      <w:szCs w:val="21"/>
                      <w:highlight w:val="none"/>
                    </w:rPr>
                    <w:t>本项目</w:t>
                  </w:r>
                  <w:r>
                    <w:rPr>
                      <w:rFonts w:hint="eastAsia" w:eastAsia="宋体"/>
                      <w:color w:val="auto"/>
                      <w:szCs w:val="21"/>
                      <w:highlight w:val="none"/>
                    </w:rPr>
                    <w:t>不属于</w:t>
                  </w:r>
                  <w:r>
                    <w:rPr>
                      <w:rFonts w:hint="eastAsia" w:eastAsia="宋体"/>
                      <w:color w:val="auto"/>
                      <w:szCs w:val="21"/>
                      <w:highlight w:val="none"/>
                      <w:lang w:val="zh-CN"/>
                    </w:rPr>
                    <w:t>环保、能耗、安全等不达标或生产、使用淘汰类产品的企业，</w:t>
                  </w:r>
                  <w:r>
                    <w:rPr>
                      <w:rFonts w:hint="eastAsia" w:eastAsia="宋体"/>
                      <w:color w:val="auto"/>
                      <w:szCs w:val="21"/>
                      <w:highlight w:val="none"/>
                    </w:rPr>
                    <w:t>本项目</w:t>
                  </w:r>
                  <w:r>
                    <w:rPr>
                      <w:rFonts w:hint="eastAsia" w:eastAsia="宋体"/>
                      <w:color w:val="auto"/>
                      <w:szCs w:val="21"/>
                      <w:highlight w:val="none"/>
                      <w:lang w:val="en-US" w:eastAsia="zh-CN"/>
                    </w:rPr>
                    <w:t>锅炉</w:t>
                  </w:r>
                  <w:r>
                    <w:rPr>
                      <w:rFonts w:hint="eastAsia" w:eastAsia="宋体"/>
                      <w:color w:val="auto"/>
                      <w:szCs w:val="21"/>
                      <w:highlight w:val="none"/>
                    </w:rPr>
                    <w:t>使用生物质燃料，</w:t>
                  </w:r>
                  <w:r>
                    <w:rPr>
                      <w:rFonts w:eastAsia="宋体"/>
                      <w:color w:val="auto"/>
                      <w:szCs w:val="21"/>
                      <w:highlight w:val="none"/>
                    </w:rPr>
                    <w:t>故符合大气空间布局约束。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jc w:val="center"/>
              </w:trPr>
              <w:tc>
                <w:tcPr>
                  <w:tcW w:w="7161" w:type="dxa"/>
                  <w:gridSpan w:val="3"/>
                  <w:tcBorders>
                    <w:top w:val="single" w:color="auto" w:sz="4" w:space="0"/>
                    <w:left w:val="nil"/>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水环境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6001" w:type="dxa"/>
                  <w:gridSpan w:val="2"/>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hint="eastAsia"/>
                      <w:color w:val="auto"/>
                      <w:sz w:val="21"/>
                      <w:szCs w:val="21"/>
                    </w:rPr>
                    <w:t>水环境一般管控区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5028" w:type="dxa"/>
                  <w:gridSpan w:val="2"/>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管控要求</w:t>
                  </w:r>
                </w:p>
              </w:tc>
              <w:tc>
                <w:tcPr>
                  <w:tcW w:w="2133" w:type="dxa"/>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rFonts w:hint="eastAsia"/>
                      <w:b/>
                      <w:bCs/>
                      <w:color w:val="auto"/>
                      <w:sz w:val="21"/>
                      <w:szCs w:val="21"/>
                      <w:lang w:bidi="ar"/>
                    </w:rPr>
                    <w:t>资源利用效率要求</w:t>
                  </w:r>
                </w:p>
              </w:tc>
              <w:tc>
                <w:tcPr>
                  <w:tcW w:w="3868"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lang w:val="zh-CN"/>
                    </w:rPr>
                  </w:pPr>
                  <w:r>
                    <w:rPr>
                      <w:color w:val="auto"/>
                      <w:sz w:val="21"/>
                      <w:szCs w:val="21"/>
                    </w:rPr>
                    <w:t>全省2030年用水总量控制指标不高于省政府确定的指标。</w:t>
                  </w:r>
                </w:p>
              </w:tc>
              <w:tc>
                <w:tcPr>
                  <w:tcW w:w="2133" w:type="dxa"/>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hint="eastAsia"/>
                      <w:color w:val="auto"/>
                      <w:sz w:val="21"/>
                      <w:szCs w:val="21"/>
                    </w:rPr>
                    <w:t>本项目</w:t>
                  </w:r>
                  <w:r>
                    <w:rPr>
                      <w:rFonts w:hint="eastAsia"/>
                      <w:color w:val="auto"/>
                      <w:sz w:val="21"/>
                      <w:szCs w:val="21"/>
                      <w:lang w:val="en-US" w:eastAsia="zh-CN"/>
                    </w:rPr>
                    <w:t>用水总量控制指标</w:t>
                  </w:r>
                  <w:r>
                    <w:rPr>
                      <w:rFonts w:hint="eastAsia"/>
                      <w:color w:val="auto"/>
                      <w:sz w:val="21"/>
                      <w:szCs w:val="21"/>
                    </w:rPr>
                    <w:t>不高于省政府确定指标。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7161" w:type="dxa"/>
                  <w:gridSpan w:val="3"/>
                  <w:tcBorders>
                    <w:top w:val="single" w:color="auto" w:sz="4" w:space="0"/>
                    <w:left w:val="nil"/>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地下水环境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6001" w:type="dxa"/>
                  <w:gridSpan w:val="2"/>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color w:val="auto"/>
                      <w:sz w:val="21"/>
                      <w:szCs w:val="21"/>
                    </w:rPr>
                    <w:t>地下水环境一般管控区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5028" w:type="dxa"/>
                  <w:gridSpan w:val="2"/>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管控要求</w:t>
                  </w:r>
                </w:p>
              </w:tc>
              <w:tc>
                <w:tcPr>
                  <w:tcW w:w="2133" w:type="dxa"/>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环境风险管控</w:t>
                  </w:r>
                </w:p>
              </w:tc>
              <w:tc>
                <w:tcPr>
                  <w:tcW w:w="3868" w:type="dxa"/>
                  <w:tcBorders>
                    <w:top w:val="single" w:color="auto" w:sz="4" w:space="0"/>
                    <w:left w:val="single" w:color="auto" w:sz="4" w:space="0"/>
                    <w:bottom w:val="single" w:color="auto" w:sz="4" w:space="0"/>
                    <w:right w:val="single" w:color="auto" w:sz="4" w:space="0"/>
                  </w:tcBorders>
                  <w:noWrap w:val="0"/>
                  <w:vAlign w:val="center"/>
                </w:tcPr>
                <w:p>
                  <w:pPr>
                    <w:pStyle w:val="140"/>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环境风险管控</w:t>
                  </w:r>
                </w:p>
                <w:p>
                  <w:pPr>
                    <w:pStyle w:val="140"/>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w:t>
                  </w:r>
                </w:p>
                <w:p>
                  <w:pPr>
                    <w:pStyle w:val="140"/>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2.重点单位新、改、扩建项目地下储罐储存有毒有害物质的，应当在项目投入生产或者使用之前，将地下储罐的信息报所在地设区的市级生态环境主管部门备案。</w:t>
                  </w:r>
                </w:p>
                <w:p>
                  <w:pPr>
                    <w:pStyle w:val="140"/>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重点单位应当建立土壤和地下水污染隐患排查治理制度，定期对重点区域、重点设施开展隐患排查。发现污染隐患的，应当制定整改方案，及时采取技术、管理措施消除隐患。隐患排查、治理情况应当如实记录并建立档案。重点区域包括涉及有毒有害物质的生产区，原材料及固体废物的堆存区、储放区和转运区等；重点设施包括涉及有毒有害物质的地下储罐、地下管线，以及污染治理设施等。</w:t>
                  </w:r>
                </w:p>
                <w:p>
                  <w:pPr>
                    <w:pStyle w:val="140"/>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4.化学品生产企业以及工业集聚区、矿山开采区、尾矿库、危险废物处置场、垃圾填埋场等的运营、管理单位，应当采取防渗漏等措施，并建设地下水水质监测井进行监测，防止地下水污染。</w:t>
                  </w:r>
                </w:p>
                <w:p>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center"/>
                    <w:rPr>
                      <w:color w:val="auto"/>
                      <w:sz w:val="21"/>
                      <w:szCs w:val="21"/>
                    </w:rPr>
                  </w:pPr>
                  <w:r>
                    <w:rPr>
                      <w:rFonts w:hint="eastAsia" w:ascii="宋体" w:hAnsi="宋体" w:eastAsia="宋体" w:cs="宋体"/>
                      <w:color w:val="auto"/>
                      <w:sz w:val="21"/>
                      <w:szCs w:val="21"/>
                      <w:highlight w:val="none"/>
                      <w:lang w:val="en-US" w:eastAsia="zh-CN" w:bidi="ar-SA"/>
                    </w:rPr>
                    <w:t>5.重点单位通过新、改、扩建项目的土壤和地下水环境现状调查，发现项目用地污染物含量超过国家或者地方有关建设用地土壤污染风险管控标准的，土地使用权人或者污染责任人应当参照污染地块土壤环境管理有关规定开展详细调查、风险评估、风险管控、治理与修复等活动。</w:t>
                  </w:r>
                </w:p>
              </w:tc>
              <w:tc>
                <w:tcPr>
                  <w:tcW w:w="2133" w:type="dxa"/>
                  <w:tcBorders>
                    <w:top w:val="single" w:color="auto" w:sz="4" w:space="0"/>
                    <w:left w:val="single" w:color="auto" w:sz="4" w:space="0"/>
                    <w:bottom w:val="single" w:color="auto" w:sz="4" w:space="0"/>
                    <w:right w:val="nil"/>
                  </w:tcBorders>
                  <w:noWrap w:val="0"/>
                  <w:vAlign w:val="center"/>
                </w:tcPr>
                <w:p>
                  <w:pPr>
                    <w:pStyle w:val="140"/>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color w:val="auto"/>
                      <w:sz w:val="21"/>
                      <w:szCs w:val="21"/>
                    </w:rPr>
                  </w:pPr>
                  <w:r>
                    <w:rPr>
                      <w:rFonts w:hint="eastAsia" w:ascii="宋体" w:hAnsi="宋体" w:eastAsia="宋体" w:cs="宋体"/>
                      <w:color w:val="auto"/>
                      <w:sz w:val="21"/>
                      <w:szCs w:val="21"/>
                      <w:highlight w:val="none"/>
                      <w:lang w:val="en-US" w:eastAsia="zh-CN" w:bidi="ar-SA"/>
                    </w:rPr>
                    <w:t>本项目不属于土壤污染重点监管单位，不涉及环境风险管控要求内容。项目建设符合环境风险管控要求。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7161" w:type="dxa"/>
                  <w:gridSpan w:val="3"/>
                  <w:tcBorders>
                    <w:top w:val="single" w:color="auto" w:sz="4" w:space="0"/>
                    <w:left w:val="nil"/>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三、资源利用上线</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ascii="Times New Roman" w:hAnsi="Times New Roman" w:eastAsia="宋体" w:cs="Times New Roman"/>
                      <w:b/>
                      <w:bCs/>
                      <w:color w:val="auto"/>
                      <w:kern w:val="2"/>
                      <w:sz w:val="21"/>
                      <w:szCs w:val="21"/>
                      <w:lang w:val="en-US" w:eastAsia="zh-CN" w:bidi="ar-SA"/>
                    </w:rPr>
                  </w:pPr>
                  <w:r>
                    <w:rPr>
                      <w:rFonts w:eastAsia="宋体"/>
                      <w:b/>
                      <w:bCs/>
                      <w:color w:val="auto"/>
                      <w:szCs w:val="21"/>
                    </w:rPr>
                    <w:t>管控单元类别</w:t>
                  </w:r>
                </w:p>
              </w:tc>
              <w:tc>
                <w:tcPr>
                  <w:tcW w:w="6001" w:type="dxa"/>
                  <w:gridSpan w:val="2"/>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snapToGrid/>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eastAsia="宋体"/>
                      <w:color w:val="auto"/>
                      <w:kern w:val="0"/>
                      <w:szCs w:val="21"/>
                      <w:lang w:bidi="ar"/>
                    </w:rPr>
                    <w:t>自然资源一般管控区</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ascii="Times New Roman" w:hAnsi="Times New Roman" w:eastAsia="宋体" w:cs="Times New Roman"/>
                      <w:b/>
                      <w:bCs/>
                      <w:color w:val="auto"/>
                      <w:kern w:val="2"/>
                      <w:sz w:val="21"/>
                      <w:szCs w:val="21"/>
                      <w:lang w:val="en-US" w:eastAsia="zh-CN" w:bidi="ar-SA"/>
                    </w:rPr>
                  </w:pPr>
                  <w:r>
                    <w:rPr>
                      <w:rFonts w:hint="eastAsia" w:eastAsia="宋体"/>
                      <w:b/>
                      <w:bCs/>
                      <w:color w:val="auto"/>
                      <w:szCs w:val="21"/>
                    </w:rPr>
                    <w:t>管控要求</w:t>
                  </w:r>
                </w:p>
              </w:tc>
              <w:tc>
                <w:tcPr>
                  <w:tcW w:w="6001" w:type="dxa"/>
                  <w:gridSpan w:val="2"/>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1.水资源：全市2025年用水总量不得超过6.73亿立方米，2030年用水总量控制指标不高于省政府确定的指标。</w:t>
                  </w:r>
                </w:p>
                <w:p>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2.土地资源：全市2025年及2035年建设用地开发上线不高于省政府确定的指标，耕地资源保护下线不低于省政府确定的指标。</w:t>
                  </w:r>
                </w:p>
                <w:p>
                  <w:pPr>
                    <w:keepNext w:val="0"/>
                    <w:keepLines w:val="0"/>
                    <w:pageBreakBefore w:val="0"/>
                    <w:widowControl/>
                    <w:numPr>
                      <w:ilvl w:val="0"/>
                      <w:numId w:val="0"/>
                    </w:numPr>
                    <w:kinsoku/>
                    <w:wordWrap/>
                    <w:overflowPunct/>
                    <w:topLinePunct w:val="0"/>
                    <w:autoSpaceDE/>
                    <w:autoSpaceDN/>
                    <w:bidi w:val="0"/>
                    <w:snapToGrid/>
                    <w:spacing w:line="240" w:lineRule="auto"/>
                    <w:ind w:firstLine="0" w:firstLineChars="0"/>
                    <w:jc w:val="left"/>
                    <w:rPr>
                      <w:rFonts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bidi="ar-SA"/>
                    </w:rPr>
                    <w:t>3.能源：2025年和2035年，全市煤炭消费上线不高于省政府确定的指标。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16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eastAsia="宋体"/>
                      <w:b/>
                      <w:bCs/>
                      <w:color w:val="auto"/>
                      <w:szCs w:val="21"/>
                    </w:rPr>
                  </w:pPr>
                  <w:r>
                    <w:rPr>
                      <w:rFonts w:hint="eastAsia" w:eastAsia="宋体"/>
                      <w:b/>
                      <w:bCs/>
                      <w:color w:val="auto"/>
                      <w:szCs w:val="21"/>
                    </w:rPr>
                    <w:t>符合性</w:t>
                  </w:r>
                </w:p>
                <w:p>
                  <w:pPr>
                    <w:keepNext w:val="0"/>
                    <w:keepLines w:val="0"/>
                    <w:pageBreakBefore w:val="0"/>
                    <w:kinsoku/>
                    <w:wordWrap/>
                    <w:overflowPunct/>
                    <w:topLinePunct w:val="0"/>
                    <w:autoSpaceDE/>
                    <w:autoSpaceDN/>
                    <w:bidi w:val="0"/>
                    <w:adjustRightInd w:val="0"/>
                    <w:snapToGrid/>
                    <w:spacing w:line="240" w:lineRule="atLeast"/>
                    <w:ind w:firstLine="0" w:firstLineChars="0"/>
                    <w:jc w:val="center"/>
                    <w:textAlignment w:val="baseline"/>
                    <w:rPr>
                      <w:rFonts w:hint="eastAsia" w:ascii="Times New Roman" w:hAnsi="Times New Roman" w:eastAsia="宋体" w:cs="Times New Roman"/>
                      <w:b/>
                      <w:bCs/>
                      <w:color w:val="auto"/>
                      <w:kern w:val="2"/>
                      <w:sz w:val="21"/>
                      <w:szCs w:val="21"/>
                      <w:lang w:val="en-US" w:eastAsia="zh-CN" w:bidi="ar-SA"/>
                    </w:rPr>
                  </w:pPr>
                  <w:r>
                    <w:rPr>
                      <w:rFonts w:hint="eastAsia" w:eastAsia="宋体"/>
                      <w:b/>
                      <w:bCs/>
                      <w:color w:val="auto"/>
                      <w:szCs w:val="21"/>
                    </w:rPr>
                    <w:t>分析</w:t>
                  </w:r>
                </w:p>
              </w:tc>
              <w:tc>
                <w:tcPr>
                  <w:tcW w:w="6001" w:type="dxa"/>
                  <w:gridSpan w:val="2"/>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ind w:firstLine="0" w:firstLineChars="0"/>
                    <w:jc w:val="center"/>
                    <w:textAlignment w:val="baseline"/>
                    <w:rPr>
                      <w:color w:val="auto"/>
                      <w:sz w:val="21"/>
                      <w:szCs w:val="21"/>
                    </w:rPr>
                  </w:pPr>
                  <w:r>
                    <w:rPr>
                      <w:rFonts w:hint="eastAsia"/>
                      <w:color w:val="auto"/>
                    </w:rPr>
                    <w:t>本</w:t>
                  </w:r>
                  <w:r>
                    <w:rPr>
                      <w:rFonts w:hint="eastAsia"/>
                      <w:color w:val="auto"/>
                      <w:sz w:val="21"/>
                      <w:szCs w:val="21"/>
                    </w:rPr>
                    <w:t>项目用水量为</w:t>
                  </w:r>
                  <w:r>
                    <w:rPr>
                      <w:rFonts w:hint="eastAsia"/>
                      <w:color w:val="auto"/>
                      <w:sz w:val="21"/>
                      <w:szCs w:val="21"/>
                      <w:lang w:val="en-US" w:eastAsia="zh-CN"/>
                    </w:rPr>
                    <w:t>1415.4</w:t>
                  </w:r>
                  <w:r>
                    <w:rPr>
                      <w:rFonts w:hint="eastAsia"/>
                      <w:color w:val="auto"/>
                      <w:sz w:val="21"/>
                      <w:szCs w:val="21"/>
                    </w:rPr>
                    <w:t>t/a，</w:t>
                  </w:r>
                  <w:r>
                    <w:rPr>
                      <w:rFonts w:hint="eastAsia"/>
                      <w:color w:val="auto"/>
                      <w:sz w:val="21"/>
                      <w:szCs w:val="21"/>
                      <w:lang w:val="en-US" w:eastAsia="zh-CN"/>
                    </w:rPr>
                    <w:t>仅为员工生活用水及锅炉用水</w:t>
                  </w:r>
                  <w:r>
                    <w:rPr>
                      <w:rFonts w:hint="eastAsia"/>
                      <w:color w:val="auto"/>
                      <w:sz w:val="21"/>
                      <w:szCs w:val="21"/>
                    </w:rPr>
                    <w:t>。远小于</w:t>
                  </w:r>
                  <w:r>
                    <w:rPr>
                      <w:rFonts w:hint="eastAsia"/>
                      <w:color w:val="auto"/>
                      <w:sz w:val="21"/>
                      <w:szCs w:val="21"/>
                      <w:lang w:val="en-US" w:eastAsia="zh-CN"/>
                    </w:rPr>
                    <w:t>伊春市</w:t>
                  </w:r>
                  <w:r>
                    <w:rPr>
                      <w:rFonts w:hint="eastAsia"/>
                      <w:color w:val="auto"/>
                      <w:sz w:val="21"/>
                      <w:szCs w:val="21"/>
                    </w:rPr>
                    <w:t>控制指标。</w:t>
                  </w:r>
                </w:p>
                <w:p>
                  <w:pPr>
                    <w:keepNext w:val="0"/>
                    <w:keepLines w:val="0"/>
                    <w:pageBreakBefore w:val="0"/>
                    <w:kinsoku/>
                    <w:wordWrap/>
                    <w:overflowPunct/>
                    <w:topLinePunct w:val="0"/>
                    <w:autoSpaceDE/>
                    <w:autoSpaceDN/>
                    <w:bidi w:val="0"/>
                    <w:snapToGrid/>
                    <w:ind w:firstLine="0" w:firstLineChars="0"/>
                    <w:jc w:val="center"/>
                    <w:rPr>
                      <w:rFonts w:ascii="Times New Roman" w:hAnsi="Times New Roman" w:eastAsia="宋体" w:cs="Times New Roman"/>
                      <w:color w:val="auto"/>
                      <w:kern w:val="2"/>
                      <w:sz w:val="21"/>
                      <w:szCs w:val="24"/>
                      <w:lang w:val="en-US" w:eastAsia="zh-CN" w:bidi="ar-SA"/>
                    </w:rPr>
                  </w:pPr>
                  <w:r>
                    <w:rPr>
                      <w:rFonts w:hint="eastAsia"/>
                      <w:color w:val="auto"/>
                      <w:sz w:val="21"/>
                      <w:szCs w:val="21"/>
                    </w:rPr>
                    <w:t>本项目</w:t>
                  </w:r>
                  <w:r>
                    <w:rPr>
                      <w:rFonts w:hint="eastAsia"/>
                      <w:color w:val="auto"/>
                      <w:sz w:val="21"/>
                      <w:szCs w:val="21"/>
                      <w:lang w:val="en-US" w:eastAsia="zh-CN"/>
                    </w:rPr>
                    <w:t>锅炉</w:t>
                  </w:r>
                  <w:r>
                    <w:rPr>
                      <w:rFonts w:hint="eastAsia"/>
                      <w:color w:val="auto"/>
                      <w:sz w:val="21"/>
                      <w:szCs w:val="21"/>
                    </w:rPr>
                    <w:t>使用燃料为生物质，符合</w:t>
                  </w:r>
                  <w:r>
                    <w:rPr>
                      <w:rFonts w:hint="eastAsia"/>
                      <w:color w:val="auto"/>
                      <w:sz w:val="21"/>
                      <w:szCs w:val="21"/>
                      <w:lang w:val="en-US" w:eastAsia="zh-CN"/>
                    </w:rPr>
                    <w:t>伊春</w:t>
                  </w:r>
                  <w:r>
                    <w:rPr>
                      <w:rFonts w:hint="eastAsia"/>
                      <w:color w:val="auto"/>
                      <w:sz w:val="21"/>
                      <w:szCs w:val="21"/>
                    </w:rPr>
                    <w:t>市能源控制指标。</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jc w:val="center"/>
              </w:trPr>
              <w:tc>
                <w:tcPr>
                  <w:tcW w:w="7161" w:type="dxa"/>
                  <w:gridSpan w:val="3"/>
                  <w:tcBorders>
                    <w:top w:val="single" w:color="auto" w:sz="4" w:space="0"/>
                    <w:left w:val="nil"/>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四、环境准入清单</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环境管控单元名称</w:t>
                  </w:r>
                </w:p>
              </w:tc>
              <w:tc>
                <w:tcPr>
                  <w:tcW w:w="6001" w:type="dxa"/>
                  <w:gridSpan w:val="2"/>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hint="eastAsia" w:ascii="Times New Roman" w:hAnsi="Times New Roman" w:eastAsia="宋体" w:cs="Times New Roman"/>
                      <w:color w:val="auto"/>
                      <w:sz w:val="21"/>
                      <w:szCs w:val="21"/>
                      <w:highlight w:val="none"/>
                      <w:lang w:val="en-US" w:eastAsia="zh-CN"/>
                    </w:rPr>
                    <w:t>嘉荫县</w:t>
                  </w:r>
                  <w:r>
                    <w:rPr>
                      <w:rFonts w:hint="default" w:ascii="Times New Roman" w:hAnsi="Times New Roman" w:eastAsia="宋体" w:cs="Times New Roman"/>
                      <w:color w:val="auto"/>
                      <w:sz w:val="21"/>
                      <w:szCs w:val="21"/>
                      <w:highlight w:val="none"/>
                      <w:lang w:val="en-US" w:eastAsia="zh-CN"/>
                    </w:rPr>
                    <w:t>其他区域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环境管控单元编码</w:t>
                  </w:r>
                </w:p>
              </w:tc>
              <w:tc>
                <w:tcPr>
                  <w:tcW w:w="6001" w:type="dxa"/>
                  <w:gridSpan w:val="2"/>
                  <w:tcBorders>
                    <w:top w:val="single" w:color="auto" w:sz="4" w:space="0"/>
                    <w:left w:val="single" w:color="auto" w:sz="4" w:space="0"/>
                    <w:bottom w:val="single" w:color="auto" w:sz="4" w:space="0"/>
                    <w:right w:val="nil"/>
                  </w:tcBorders>
                  <w:noWrap w:val="0"/>
                  <w:vAlign w:val="center"/>
                </w:tcPr>
                <w:p>
                  <w:pPr>
                    <w:keepNext w:val="0"/>
                    <w:keepLines w:val="0"/>
                    <w:widowControl/>
                    <w:suppressLineNumbers w:val="0"/>
                    <w:spacing w:before="0" w:beforeAutospacing="0" w:after="0" w:afterAutospacing="0"/>
                    <w:ind w:left="0" w:right="0"/>
                    <w:jc w:val="center"/>
                    <w:rPr>
                      <w:rFonts w:hint="default" w:eastAsia="宋体"/>
                      <w:color w:val="auto"/>
                      <w:sz w:val="21"/>
                      <w:szCs w:val="21"/>
                      <w:lang w:val="en-US" w:eastAsia="zh-CN"/>
                    </w:rPr>
                  </w:pPr>
                  <w:r>
                    <w:rPr>
                      <w:rFonts w:hint="default" w:ascii="Times New Roman" w:hAnsi="Times New Roman" w:eastAsia="宋体" w:cs="Times New Roman"/>
                      <w:color w:val="auto"/>
                      <w:kern w:val="0"/>
                      <w:sz w:val="22"/>
                      <w:szCs w:val="22"/>
                      <w:lang w:val="en-US" w:eastAsia="zh-CN" w:bidi="ar"/>
                    </w:rPr>
                    <w:t>ZH23072230002</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管控单元类别</w:t>
                  </w:r>
                </w:p>
              </w:tc>
              <w:tc>
                <w:tcPr>
                  <w:tcW w:w="6001" w:type="dxa"/>
                  <w:gridSpan w:val="2"/>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color w:val="auto"/>
                      <w:sz w:val="21"/>
                      <w:szCs w:val="21"/>
                    </w:rPr>
                  </w:pPr>
                  <w:r>
                    <w:rPr>
                      <w:rFonts w:hint="default" w:ascii="Times New Roman" w:hAnsi="Times New Roman" w:eastAsia="宋体" w:cs="Times New Roman"/>
                      <w:color w:val="auto"/>
                      <w:sz w:val="21"/>
                      <w:szCs w:val="21"/>
                      <w:highlight w:val="none"/>
                      <w:lang w:val="en-US" w:eastAsia="zh-CN"/>
                    </w:rPr>
                    <w:t>一般管控单元</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5028" w:type="dxa"/>
                  <w:gridSpan w:val="2"/>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管控要求</w:t>
                  </w:r>
                </w:p>
              </w:tc>
              <w:tc>
                <w:tcPr>
                  <w:tcW w:w="2133" w:type="dxa"/>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项目符合性分析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空间布局约束</w:t>
                  </w:r>
                </w:p>
              </w:tc>
              <w:tc>
                <w:tcPr>
                  <w:tcW w:w="386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1.引导工业项目向开发区集中，促进产业集聚、资源集约、绿色发展。</w:t>
                  </w:r>
                </w:p>
                <w:p>
                  <w:pPr>
                    <w:pStyle w:val="14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Times New Roman" w:cs="Times New Roman"/>
                      <w:color w:val="auto"/>
                      <w:kern w:val="2"/>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2133" w:type="dxa"/>
                  <w:tcBorders>
                    <w:top w:val="single" w:color="auto" w:sz="4" w:space="0"/>
                    <w:left w:val="single" w:color="auto" w:sz="4" w:space="0"/>
                    <w:bottom w:val="single" w:color="auto" w:sz="4" w:space="0"/>
                    <w:right w:val="nil"/>
                  </w:tcBorders>
                  <w:noWrap w:val="0"/>
                  <w:vAlign w:val="center"/>
                </w:tcPr>
                <w:p>
                  <w:pPr>
                    <w:pStyle w:val="134"/>
                    <w:keepNext w:val="0"/>
                    <w:keepLines w:val="0"/>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w:t>
                  </w:r>
                  <w:r>
                    <w:rPr>
                      <w:rFonts w:hint="default" w:ascii="Times New Roman" w:hAnsi="Times New Roman" w:eastAsia="Times New Roman" w:cs="Times New Roman"/>
                      <w:color w:val="auto"/>
                      <w:kern w:val="2"/>
                      <w:sz w:val="21"/>
                      <w:szCs w:val="21"/>
                      <w:lang w:val="en-US" w:eastAsia="zh-CN" w:bidi="ar-SA"/>
                    </w:rPr>
                    <w:t>.</w:t>
                  </w:r>
                  <w:r>
                    <w:rPr>
                      <w:rFonts w:hint="eastAsia" w:ascii="Times New Roman" w:hAnsi="Times New Roman" w:eastAsia="Times New Roman" w:cs="Times New Roman"/>
                      <w:color w:val="auto"/>
                      <w:kern w:val="2"/>
                      <w:sz w:val="21"/>
                      <w:szCs w:val="21"/>
                      <w:lang w:val="en-US" w:eastAsia="zh-CN" w:bidi="ar-SA"/>
                    </w:rPr>
                    <w:t>本项目为</w:t>
                  </w:r>
                  <w:r>
                    <w:rPr>
                      <w:rFonts w:hint="eastAsia"/>
                      <w:color w:val="auto"/>
                      <w:sz w:val="21"/>
                      <w:szCs w:val="21"/>
                    </w:rPr>
                    <w:t>热力生产和供应</w:t>
                  </w:r>
                  <w:r>
                    <w:rPr>
                      <w:rFonts w:hint="eastAsia" w:ascii="Times New Roman" w:hAnsi="Times New Roman" w:eastAsia="Times New Roman" w:cs="Times New Roman"/>
                      <w:color w:val="auto"/>
                      <w:kern w:val="2"/>
                      <w:sz w:val="21"/>
                      <w:szCs w:val="21"/>
                      <w:lang w:val="en-US" w:eastAsia="zh-CN" w:bidi="ar-SA"/>
                    </w:rPr>
                    <w:t>，在采取各项保护措施后，污染物排放能够达到相应的排放标准；本项目符合产业政策。</w:t>
                  </w:r>
                </w:p>
                <w:p>
                  <w:pPr>
                    <w:pStyle w:val="140"/>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Times New Roman" w:cs="Times New Roman"/>
                      <w:color w:val="auto"/>
                      <w:kern w:val="2"/>
                      <w:sz w:val="21"/>
                      <w:szCs w:val="21"/>
                      <w:lang w:val="en-US" w:eastAsia="zh-CN" w:bidi="ar-SA"/>
                    </w:rPr>
                    <w:t>2</w:t>
                  </w:r>
                  <w:r>
                    <w:rPr>
                      <w:rFonts w:hint="default" w:ascii="Times New Roman" w:hAnsi="Times New Roman" w:eastAsia="Times New Roman" w:cs="Times New Roman"/>
                      <w:color w:val="auto"/>
                      <w:kern w:val="2"/>
                      <w:sz w:val="21"/>
                      <w:szCs w:val="21"/>
                      <w:lang w:val="en-US" w:eastAsia="zh-CN" w:bidi="ar-SA"/>
                    </w:rPr>
                    <w:t>.</w:t>
                  </w:r>
                  <w:r>
                    <w:rPr>
                      <w:rFonts w:hint="eastAsia" w:ascii="Times New Roman" w:hAnsi="Times New Roman" w:eastAsia="Times New Roman" w:cs="Times New Roman"/>
                      <w:color w:val="auto"/>
                      <w:kern w:val="2"/>
                      <w:sz w:val="21"/>
                      <w:szCs w:val="21"/>
                      <w:lang w:val="en-US" w:eastAsia="zh-CN" w:bidi="ar-SA"/>
                    </w:rPr>
                    <w:t>本项目不属于电力、钢铁、建材、有色、化工、石油石化、船舶、煤炭、印染、造纸、制革、染料、焦化、电镀等行业。</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污染物排放管控</w:t>
                  </w:r>
                </w:p>
              </w:tc>
              <w:tc>
                <w:tcPr>
                  <w:tcW w:w="38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13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125"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rPr>
                  </w:pPr>
                  <w:r>
                    <w:rPr>
                      <w:b/>
                      <w:bCs/>
                      <w:color w:val="auto"/>
                      <w:sz w:val="21"/>
                      <w:szCs w:val="21"/>
                      <w:lang w:bidi="ar"/>
                    </w:rPr>
                    <w:t>环境风险防控</w:t>
                  </w:r>
                </w:p>
              </w:tc>
              <w:tc>
                <w:tcPr>
                  <w:tcW w:w="38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13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1160" w:type="dxa"/>
                  <w:tcBorders>
                    <w:top w:val="single" w:color="auto" w:sz="4" w:space="0"/>
                    <w:left w:val="nil"/>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b/>
                      <w:bCs/>
                      <w:color w:val="auto"/>
                      <w:sz w:val="21"/>
                      <w:szCs w:val="21"/>
                      <w:lang w:bidi="ar"/>
                    </w:rPr>
                  </w:pPr>
                  <w:r>
                    <w:rPr>
                      <w:rFonts w:hint="eastAsia"/>
                      <w:b/>
                      <w:bCs/>
                      <w:color w:val="auto"/>
                      <w:sz w:val="21"/>
                      <w:szCs w:val="21"/>
                      <w:lang w:bidi="ar"/>
                    </w:rPr>
                    <w:t>资源开发效率要求</w:t>
                  </w:r>
                </w:p>
              </w:tc>
              <w:tc>
                <w:tcPr>
                  <w:tcW w:w="3868" w:type="dxa"/>
                  <w:tcBorders>
                    <w:top w:val="single" w:color="auto" w:sz="4" w:space="0"/>
                    <w:left w:val="single" w:color="auto" w:sz="4" w:space="0"/>
                    <w:bottom w:val="single" w:color="auto" w:sz="4" w:space="0"/>
                    <w:right w:val="single" w:color="auto" w:sz="4" w:space="0"/>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hint="eastAsia"/>
                      <w:color w:val="auto"/>
                      <w:sz w:val="21"/>
                      <w:szCs w:val="21"/>
                    </w:rPr>
                    <w:t>/</w:t>
                  </w:r>
                </w:p>
              </w:tc>
              <w:tc>
                <w:tcPr>
                  <w:tcW w:w="2133" w:type="dxa"/>
                  <w:tcBorders>
                    <w:top w:val="single" w:color="auto" w:sz="4" w:space="0"/>
                    <w:left w:val="single" w:color="auto" w:sz="4" w:space="0"/>
                    <w:bottom w:val="single" w:color="auto" w:sz="4" w:space="0"/>
                    <w:right w:val="nil"/>
                  </w:tcBorders>
                  <w:noWrap w:val="0"/>
                  <w:vAlign w:val="center"/>
                </w:tcPr>
                <w:p>
                  <w:pPr>
                    <w:pStyle w:val="105"/>
                    <w:keepNext w:val="0"/>
                    <w:keepLines w:val="0"/>
                    <w:pageBreakBefore w:val="0"/>
                    <w:kinsoku/>
                    <w:wordWrap/>
                    <w:overflowPunct/>
                    <w:topLinePunct w:val="0"/>
                    <w:autoSpaceDE/>
                    <w:autoSpaceDN/>
                    <w:bidi w:val="0"/>
                    <w:snapToGrid/>
                    <w:spacing w:line="240" w:lineRule="auto"/>
                    <w:ind w:firstLine="0" w:firstLineChars="0"/>
                    <w:jc w:val="center"/>
                    <w:rPr>
                      <w:rFonts w:hint="eastAsia"/>
                      <w:color w:val="auto"/>
                      <w:sz w:val="21"/>
                      <w:szCs w:val="21"/>
                    </w:rPr>
                  </w:pPr>
                  <w:r>
                    <w:rPr>
                      <w:rFonts w:hint="eastAsia"/>
                      <w:color w:val="auto"/>
                      <w:sz w:val="21"/>
                      <w:szCs w:val="21"/>
                    </w:rPr>
                    <w:t>/</w:t>
                  </w:r>
                </w:p>
              </w:tc>
            </w:tr>
          </w:tbl>
          <w:p>
            <w:pPr>
              <w:spacing w:line="360" w:lineRule="auto"/>
              <w:ind w:firstLine="480" w:firstLineChars="200"/>
              <w:rPr>
                <w:snapToGrid w:val="0"/>
                <w:color w:val="000000" w:themeColor="text1"/>
                <w:kern w:val="0"/>
                <w:sz w:val="24"/>
                <w14:textFill>
                  <w14:solidFill>
                    <w14:schemeClr w14:val="tx1"/>
                  </w14:solidFill>
                </w14:textFill>
              </w:rPr>
            </w:pPr>
            <w:r>
              <w:rPr>
                <w:rFonts w:hint="eastAsia"/>
                <w:snapToGrid w:val="0"/>
                <w:color w:val="000000" w:themeColor="text1"/>
                <w:kern w:val="0"/>
                <w:sz w:val="24"/>
                <w14:textFill>
                  <w14:solidFill>
                    <w14:schemeClr w14:val="tx1"/>
                  </w14:solidFill>
                </w14:textFill>
              </w:rPr>
              <w:t>③一说明</w:t>
            </w:r>
          </w:p>
          <w:p>
            <w:pPr>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严格落实本报告提出的环保措施后，本项目污染物均可达标排放。项目建设对周围环境影响较小，本项目符合</w:t>
            </w:r>
            <w:r>
              <w:rPr>
                <w:rFonts w:hint="eastAsia"/>
                <w:color w:val="000000" w:themeColor="text1"/>
                <w:kern w:val="0"/>
                <w:sz w:val="24"/>
                <w:szCs w:val="21"/>
                <w14:textFill>
                  <w14:solidFill>
                    <w14:schemeClr w14:val="tx1"/>
                  </w14:solidFill>
                </w14:textFill>
              </w:rPr>
              <w:t>《黑龙江省人民政府关于实施“三线一单”生态环境分区管控的意见》（黑政发〔</w:t>
            </w:r>
            <w:r>
              <w:rPr>
                <w:color w:val="000000" w:themeColor="text1"/>
                <w:kern w:val="0"/>
                <w:sz w:val="24"/>
                <w:szCs w:val="21"/>
                <w14:textFill>
                  <w14:solidFill>
                    <w14:schemeClr w14:val="tx1"/>
                  </w14:solidFill>
                </w14:textFill>
              </w:rPr>
              <w:t>2020</w:t>
            </w:r>
            <w:r>
              <w:rPr>
                <w:rFonts w:hint="eastAsia"/>
                <w:color w:val="000000" w:themeColor="text1"/>
                <w:kern w:val="0"/>
                <w:sz w:val="24"/>
                <w:szCs w:val="21"/>
                <w14:textFill>
                  <w14:solidFill>
                    <w14:schemeClr w14:val="tx1"/>
                  </w14:solidFill>
                </w14:textFill>
              </w:rPr>
              <w:t>〕</w:t>
            </w:r>
            <w:r>
              <w:rPr>
                <w:color w:val="000000" w:themeColor="text1"/>
                <w:kern w:val="0"/>
                <w:sz w:val="24"/>
                <w:szCs w:val="21"/>
                <w14:textFill>
                  <w14:solidFill>
                    <w14:schemeClr w14:val="tx1"/>
                  </w14:solidFill>
                </w14:textFill>
              </w:rPr>
              <w:t xml:space="preserve">14 </w:t>
            </w:r>
            <w:r>
              <w:rPr>
                <w:rFonts w:hint="eastAsia"/>
                <w:color w:val="000000" w:themeColor="text1"/>
                <w:kern w:val="0"/>
                <w:sz w:val="24"/>
                <w:szCs w:val="21"/>
                <w14:textFill>
                  <w14:solidFill>
                    <w14:schemeClr w14:val="tx1"/>
                  </w14:solidFill>
                </w14:textFill>
              </w:rPr>
              <w:t>号）和《伊春市生态环境准入清单》（2023版）</w:t>
            </w:r>
            <w:r>
              <w:rPr>
                <w:snapToGrid w:val="0"/>
                <w:color w:val="000000" w:themeColor="text1"/>
                <w:kern w:val="0"/>
                <w:sz w:val="24"/>
                <w14:textFill>
                  <w14:solidFill>
                    <w14:schemeClr w14:val="tx1"/>
                  </w14:solidFill>
                </w14:textFill>
              </w:rPr>
              <w:t>中要求。</w:t>
            </w:r>
          </w:p>
          <w:p>
            <w:pPr>
              <w:pStyle w:val="116"/>
              <w:ind w:firstLine="480"/>
              <w:rPr>
                <w:rFonts w:hint="eastAsia"/>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5、与《黑龙江省大气污染防治行动计划实施细则》符合性分析</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本项目不属于电力、冶金、石油石化、建材、焦化等重点行业，不属于钢铁、水泥、平板玻璃、电解铝等严重过剩产能项目，不属于上述高污染、高耗能行业</w:t>
            </w:r>
            <w:r>
              <w:rPr>
                <w:rFonts w:hint="eastAsia"/>
                <w:color w:val="000000" w:themeColor="text1"/>
                <w:sz w:val="24"/>
                <w:highlight w:val="none"/>
                <w14:textFill>
                  <w14:solidFill>
                    <w14:schemeClr w14:val="tx1"/>
                  </w14:solidFill>
                </w14:textFill>
              </w:rPr>
              <w:t>，本项目燃生物质锅炉采用低氮燃烧技术，烟气经旋风+布袋除尘器处理后经</w:t>
            </w:r>
            <w:r>
              <w:rPr>
                <w:rFonts w:hint="eastAsia"/>
                <w:color w:val="000000" w:themeColor="text1"/>
                <w:sz w:val="24"/>
                <w:highlight w:val="none"/>
                <w:lang w:val="en-US" w:eastAsia="zh-CN"/>
                <w14:textFill>
                  <w14:solidFill>
                    <w14:schemeClr w14:val="tx1"/>
                  </w14:solidFill>
                </w14:textFill>
              </w:rPr>
              <w:t>40</w:t>
            </w:r>
            <w:r>
              <w:rPr>
                <w:rFonts w:hint="eastAsia"/>
                <w:color w:val="000000" w:themeColor="text1"/>
                <w:sz w:val="24"/>
                <w:highlight w:val="none"/>
                <w14:textFill>
                  <w14:solidFill>
                    <w14:schemeClr w14:val="tx1"/>
                  </w14:solidFill>
                </w14:textFill>
              </w:rPr>
              <w:t>m高烟囱排放，燃</w:t>
            </w:r>
            <w:r>
              <w:rPr>
                <w:rFonts w:hint="eastAsia"/>
                <w:color w:val="000000" w:themeColor="text1"/>
                <w:sz w:val="24"/>
                <w14:textFill>
                  <w14:solidFill>
                    <w14:schemeClr w14:val="tx1"/>
                  </w14:solidFill>
                </w14:textFill>
              </w:rPr>
              <w:t>料为生物质，不使用煤作为燃料，污染物排放满足《锅炉大气污染物排放标准》（GB13271-2014）表2燃煤锅炉大气污染物排放限值要求。采取措施后厂区内污染物排放量小，对环境空气影响较小，因此本项目符合《黑龙江省大气污染防治行动计划实施细则》要求。</w:t>
            </w:r>
          </w:p>
          <w:p>
            <w:pPr>
              <w:autoSpaceDE w:val="0"/>
              <w:autoSpaceDN w:val="0"/>
              <w:adjustRightInd w:val="0"/>
              <w:snapToGrid w:val="0"/>
              <w:spacing w:line="360" w:lineRule="auto"/>
              <w:ind w:firstLine="482" w:firstLineChars="200"/>
              <w:rPr>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6</w:t>
            </w:r>
            <w:r>
              <w:rPr>
                <w:b/>
                <w:bCs/>
                <w:color w:val="000000" w:themeColor="text1"/>
                <w:kern w:val="0"/>
                <w:sz w:val="24"/>
                <w:highlight w:val="none"/>
                <w14:textFill>
                  <w14:solidFill>
                    <w14:schemeClr w14:val="tx1"/>
                  </w14:solidFill>
                </w14:textFill>
              </w:rPr>
              <w:t>、与《伊春市空气质量持续改善行动计划实施方案》</w:t>
            </w:r>
            <w:r>
              <w:rPr>
                <w:rFonts w:hint="eastAsia"/>
                <w:b/>
                <w:bCs/>
                <w:color w:val="000000" w:themeColor="text1"/>
                <w:kern w:val="0"/>
                <w:sz w:val="24"/>
                <w:highlight w:val="none"/>
                <w14:textFill>
                  <w14:solidFill>
                    <w14:schemeClr w14:val="tx1"/>
                  </w14:solidFill>
                </w14:textFill>
              </w:rPr>
              <w:t>符合性</w:t>
            </w:r>
            <w:r>
              <w:rPr>
                <w:b/>
                <w:bCs/>
                <w:color w:val="000000" w:themeColor="text1"/>
                <w:kern w:val="0"/>
                <w:sz w:val="24"/>
                <w:highlight w:val="none"/>
                <w14:textFill>
                  <w14:solidFill>
                    <w14:schemeClr w14:val="tx1"/>
                  </w14:solidFill>
                </w14:textFill>
              </w:rPr>
              <w:t>分析</w:t>
            </w:r>
          </w:p>
          <w:p>
            <w:pPr>
              <w:pStyle w:val="116"/>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实施方案中提出</w:t>
            </w:r>
            <w:r>
              <w:rPr>
                <w:rFonts w:ascii="Times New Roman" w:hAnsi="Times New Roman" w:cs="Times New Roman"/>
                <w:color w:val="000000" w:themeColor="text1"/>
                <w14:textFill>
                  <w14:solidFill>
                    <w14:schemeClr w14:val="tx1"/>
                  </w14:solidFill>
                </w14:textFill>
              </w:rPr>
              <w:t>积极推进燃煤锅炉淘汰改造。各县</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市</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区要将燃煤供热锅炉替代项目纳入城镇供热规划。县级及以上城市建成区原则上不再新建35蒸吨/小时及以下燃煤锅炉</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其他地区原则上不再新建10蒸吨/小时及以下燃煤锅炉。加快热力管网建设，依托电厂、大型工业企业开展远距离供热示范，充分释放热电联产、工业余热等供热能力，淘汰管网覆盖范围内的供热燃煤锅炉和散煤。</w:t>
            </w:r>
          </w:p>
          <w:p>
            <w:pPr>
              <w:pStyle w:val="116"/>
              <w:ind w:firstLine="480"/>
              <w:rPr>
                <w:rFonts w:hint="eastAsia" w:ascii="Times New Roman" w:hAnsi="Times New Roman" w:cs="Times New Roman"/>
                <w:color w:val="000000" w:themeColor="text1"/>
                <w:kern w:val="0"/>
                <w:lang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本项目使用生物质燃料，</w:t>
            </w:r>
            <w:r>
              <w:rPr>
                <w:rFonts w:hint="eastAsia" w:ascii="Times New Roman" w:hAnsi="Times New Roman" w:cs="Times New Roman"/>
                <w:color w:val="000000" w:themeColor="text1"/>
                <w14:textFill>
                  <w14:solidFill>
                    <w14:schemeClr w14:val="tx1"/>
                  </w14:solidFill>
                </w14:textFill>
              </w:rPr>
              <w:t>不使用煤作为燃料，新建1台4.2MW燃生物质热水锅炉和1台2.8MW（备用）燃生物质热水锅</w:t>
            </w:r>
            <w:r>
              <w:rPr>
                <w:rFonts w:hint="eastAsia" w:ascii="Times New Roman" w:hAnsi="Times New Roman" w:cs="Times New Roman"/>
                <w:color w:val="000000" w:themeColor="text1"/>
                <w:highlight w:val="none"/>
                <w14:textFill>
                  <w14:solidFill>
                    <w14:schemeClr w14:val="tx1"/>
                  </w14:solidFill>
                </w14:textFill>
              </w:rPr>
              <w:t>炉，</w:t>
            </w:r>
            <w:r>
              <w:rPr>
                <w:rFonts w:ascii="Times New Roman" w:hAnsi="Times New Roman" w:cs="Times New Roman"/>
                <w:color w:val="000000" w:themeColor="text1"/>
                <w:highlight w:val="none"/>
                <w14:textFill>
                  <w14:solidFill>
                    <w14:schemeClr w14:val="tx1"/>
                  </w14:solidFill>
                </w14:textFill>
              </w:rPr>
              <w:t>锅炉</w:t>
            </w:r>
            <w:r>
              <w:rPr>
                <w:rFonts w:hint="eastAsia" w:cs="Times New Roman"/>
                <w:color w:val="000000" w:themeColor="text1"/>
                <w:highlight w:val="none"/>
                <w14:textFill>
                  <w14:solidFill>
                    <w14:schemeClr w14:val="tx1"/>
                  </w14:solidFill>
                </w14:textFill>
              </w:rPr>
              <w:t>采用低氮燃烧技术，</w:t>
            </w:r>
            <w:r>
              <w:rPr>
                <w:rFonts w:hint="eastAsia" w:ascii="Times New Roman" w:hAnsi="Times New Roman" w:cs="Times New Roman"/>
                <w:color w:val="000000" w:themeColor="text1"/>
                <w:highlight w:val="none"/>
                <w14:textFill>
                  <w14:solidFill>
                    <w14:schemeClr w14:val="tx1"/>
                  </w14:solidFill>
                </w14:textFill>
              </w:rPr>
              <w:t>烟气经</w:t>
            </w:r>
            <w:r>
              <w:rPr>
                <w:rFonts w:hint="eastAsia" w:cs="Times New Roman"/>
                <w:color w:val="000000" w:themeColor="text1"/>
                <w:highlight w:val="none"/>
                <w14:textFill>
                  <w14:solidFill>
                    <w14:schemeClr w14:val="tx1"/>
                  </w14:solidFill>
                </w14:textFill>
              </w:rPr>
              <w:t>旋风+</w:t>
            </w:r>
            <w:r>
              <w:rPr>
                <w:rFonts w:hint="eastAsia" w:ascii="Times New Roman" w:hAnsi="Times New Roman" w:cs="Times New Roman"/>
                <w:color w:val="000000" w:themeColor="text1"/>
                <w:highlight w:val="none"/>
                <w14:textFill>
                  <w14:solidFill>
                    <w14:schemeClr w14:val="tx1"/>
                  </w14:solidFill>
                </w14:textFill>
              </w:rPr>
              <w:t>布袋除尘器处理后经</w:t>
            </w:r>
            <w:r>
              <w:rPr>
                <w:rFonts w:hint="eastAsia" w:ascii="Times New Roman" w:hAnsi="Times New Roman" w:cs="Times New Roman"/>
                <w:color w:val="000000" w:themeColor="text1"/>
                <w:highlight w:val="none"/>
                <w:lang w:val="en-US" w:eastAsia="zh-CN"/>
                <w14:textFill>
                  <w14:solidFill>
                    <w14:schemeClr w14:val="tx1"/>
                  </w14:solidFill>
                </w14:textFill>
              </w:rPr>
              <w:t>40</w:t>
            </w:r>
            <w:r>
              <w:rPr>
                <w:rFonts w:hint="eastAsia" w:ascii="Times New Roman" w:hAnsi="Times New Roman" w:cs="Times New Roman"/>
                <w:color w:val="000000" w:themeColor="text1"/>
                <w:highlight w:val="none"/>
                <w14:textFill>
                  <w14:solidFill>
                    <w14:schemeClr w14:val="tx1"/>
                  </w14:solidFill>
                </w14:textFill>
              </w:rPr>
              <w:t>m高烟囱排放，符合</w:t>
            </w:r>
            <w:r>
              <w:rPr>
                <w:rFonts w:ascii="Times New Roman" w:hAnsi="Times New Roman" w:cs="Times New Roman"/>
                <w:color w:val="000000" w:themeColor="text1"/>
                <w:kern w:val="0"/>
                <w:highlight w:val="none"/>
                <w14:textFill>
                  <w14:solidFill>
                    <w14:schemeClr w14:val="tx1"/>
                  </w14:solidFill>
                </w14:textFill>
              </w:rPr>
              <w:t>《伊春市空气质量持续改善行动计划实施方案》</w:t>
            </w:r>
            <w:r>
              <w:rPr>
                <w:rFonts w:hint="eastAsia" w:ascii="Times New Roman" w:hAnsi="Times New Roman" w:cs="Times New Roman"/>
                <w:color w:val="000000" w:themeColor="text1"/>
                <w:kern w:val="0"/>
                <w:highlight w:val="none"/>
                <w14:textFill>
                  <w14:solidFill>
                    <w14:schemeClr w14:val="tx1"/>
                  </w14:solidFill>
                </w14:textFill>
              </w:rPr>
              <w:t>要求</w:t>
            </w:r>
            <w:r>
              <w:rPr>
                <w:rFonts w:hint="eastAsia" w:ascii="Times New Roman" w:hAnsi="Times New Roman" w:cs="Times New Roman"/>
                <w:color w:val="000000" w:themeColor="text1"/>
                <w:kern w:val="0"/>
                <w:highlight w:val="none"/>
                <w:lang w:eastAsia="zh-CN"/>
                <w14:textFill>
                  <w14:solidFill>
                    <w14:schemeClr w14:val="tx1"/>
                  </w14:solidFill>
                </w14:textFill>
              </w:rPr>
              <w:t>。</w:t>
            </w:r>
          </w:p>
          <w:p>
            <w:pPr>
              <w:rPr>
                <w:rFonts w:hint="eastAsia" w:ascii="Times New Roman" w:hAnsi="Times New Roman" w:cs="Times New Roman"/>
                <w:color w:val="000000" w:themeColor="text1"/>
                <w:kern w:val="0"/>
                <w:lang w:eastAsia="zh-CN"/>
                <w14:textFill>
                  <w14:solidFill>
                    <w14:schemeClr w14:val="tx1"/>
                  </w14:solidFill>
                </w14:textFill>
              </w:rPr>
            </w:pPr>
          </w:p>
          <w:p>
            <w:pPr>
              <w:rPr>
                <w:rFonts w:hint="eastAsia" w:ascii="Times New Roman" w:hAnsi="Times New Roman" w:cs="Times New Roman"/>
                <w:color w:val="000000" w:themeColor="text1"/>
                <w:kern w:val="0"/>
                <w:lang w:eastAsia="zh-CN"/>
                <w14:textFill>
                  <w14:solidFill>
                    <w14:schemeClr w14:val="tx1"/>
                  </w14:solidFill>
                </w14:textFill>
              </w:rPr>
            </w:pPr>
          </w:p>
          <w:p>
            <w:pPr>
              <w:rPr>
                <w:rFonts w:hint="eastAsia" w:ascii="Times New Roman" w:hAnsi="Times New Roman" w:cs="Times New Roman"/>
                <w:color w:val="000000" w:themeColor="text1"/>
                <w:kern w:val="0"/>
                <w:lang w:eastAsia="zh-CN"/>
                <w14:textFill>
                  <w14:solidFill>
                    <w14:schemeClr w14:val="tx1"/>
                  </w14:solidFill>
                </w14:textFill>
              </w:rPr>
            </w:pPr>
          </w:p>
          <w:p>
            <w:pPr>
              <w:spacing w:before="0" w:after="0" w:line="360" w:lineRule="auto"/>
              <w:ind w:left="0" w:leftChars="0" w:firstLine="0" w:firstLineChars="0"/>
              <w:outlineLvl w:val="9"/>
              <w:rPr>
                <w:color w:val="000000" w:themeColor="text1"/>
                <w14:textFill>
                  <w14:solidFill>
                    <w14:schemeClr w14:val="tx1"/>
                  </w14:solidFill>
                </w14:textFill>
              </w:rPr>
            </w:pPr>
          </w:p>
        </w:tc>
      </w:tr>
    </w:tbl>
    <w:p>
      <w:pPr>
        <w:spacing w:line="360" w:lineRule="auto"/>
        <w:outlineLvl w:val="0"/>
        <w:rPr>
          <w:rFonts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1"/>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6" w:name="_Toc15544"/>
      <w:r>
        <w:rPr>
          <w:rFonts w:ascii="Times New Roman" w:hAnsi="Times New Roman" w:eastAsia="黑体"/>
          <w:snapToGrid w:val="0"/>
          <w:color w:val="000000" w:themeColor="text1"/>
          <w:sz w:val="30"/>
          <w:szCs w:val="30"/>
          <w14:textFill>
            <w14:solidFill>
              <w14:schemeClr w14:val="tx1"/>
            </w14:solidFill>
          </w14:textFill>
        </w:rPr>
        <w:t>二、建设项目工程分析</w:t>
      </w:r>
      <w:bookmarkEnd w:id="6"/>
    </w:p>
    <w:tbl>
      <w:tblPr>
        <w:tblStyle w:val="36"/>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8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6" w:hRule="atLeast"/>
          <w:jc w:val="center"/>
        </w:trPr>
        <w:tc>
          <w:tcPr>
            <w:tcW w:w="823" w:type="dxa"/>
            <w:vAlign w:val="center"/>
          </w:tcPr>
          <w:p>
            <w:pPr>
              <w:pStyle w:val="31"/>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815" w:type="dxa"/>
          </w:tcPr>
          <w:p>
            <w:pPr>
              <w:spacing w:line="360" w:lineRule="auto"/>
              <w:rPr>
                <w:b/>
                <w:bCs/>
                <w:color w:val="000000" w:themeColor="text1"/>
                <w:sz w:val="24"/>
                <w14:textFill>
                  <w14:solidFill>
                    <w14:schemeClr w14:val="tx1"/>
                  </w14:solidFill>
                </w14:textFill>
              </w:rPr>
            </w:pPr>
            <w:bookmarkStart w:id="7" w:name="_Toc20045"/>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、工程组成</w:t>
            </w:r>
            <w:bookmarkEnd w:id="7"/>
            <w:r>
              <w:rPr>
                <w:b/>
                <w:bCs/>
                <w:color w:val="000000" w:themeColor="text1"/>
                <w:sz w:val="24"/>
                <w14:textFill>
                  <w14:solidFill>
                    <w14:schemeClr w14:val="tx1"/>
                  </w14:solidFill>
                </w14:textFill>
              </w:rPr>
              <w:t>及建设规模</w:t>
            </w:r>
          </w:p>
          <w:p>
            <w:pPr>
              <w:spacing w:line="360" w:lineRule="auto"/>
              <w:ind w:firstLine="480"/>
              <w:rPr>
                <w:color w:val="000000" w:themeColor="text1"/>
                <w:sz w:val="24"/>
                <w:highlight w:val="yellow"/>
                <w14:textFill>
                  <w14:solidFill>
                    <w14:schemeClr w14:val="tx1"/>
                  </w14:solidFill>
                </w14:textFill>
              </w:rPr>
            </w:pPr>
            <w:r>
              <w:rPr>
                <w:rFonts w:hint="eastAsia"/>
                <w:color w:val="000000" w:themeColor="text1"/>
                <w:sz w:val="24"/>
                <w:szCs w:val="24"/>
                <w:highlight w:val="none"/>
                <w14:textFill>
                  <w14:solidFill>
                    <w14:schemeClr w14:val="tx1"/>
                  </w14:solidFill>
                </w14:textFill>
              </w:rPr>
              <w:t>为</w:t>
            </w:r>
            <w:r>
              <w:rPr>
                <w:rFonts w:hint="eastAsia"/>
                <w:color w:val="000000" w:themeColor="text1"/>
                <w:sz w:val="24"/>
                <w:szCs w:val="24"/>
                <w:highlight w:val="none"/>
                <w:lang w:val="en-US" w:eastAsia="zh-CN"/>
                <w14:textFill>
                  <w14:solidFill>
                    <w14:schemeClr w14:val="tx1"/>
                  </w14:solidFill>
                </w14:textFill>
              </w:rPr>
              <w:t>解决</w:t>
            </w:r>
            <w:r>
              <w:rPr>
                <w:rFonts w:hint="eastAsia"/>
                <w:color w:val="000000" w:themeColor="text1"/>
                <w:sz w:val="24"/>
                <w:szCs w:val="24"/>
                <w:highlight w:val="none"/>
                <w:lang w:eastAsia="zh-CN"/>
                <w14:textFill>
                  <w14:solidFill>
                    <w14:schemeClr w14:val="tx1"/>
                  </w14:solidFill>
                </w14:textFill>
              </w:rPr>
              <w:t>嘉荫县向阳乡</w:t>
            </w:r>
            <w:r>
              <w:rPr>
                <w:rFonts w:hint="eastAsia" w:ascii="宋体" w:hAnsi="宋体" w:eastAsia="宋体" w:cs="宋体"/>
                <w:color w:val="000000" w:themeColor="text1"/>
                <w:sz w:val="24"/>
                <w:szCs w:val="24"/>
                <w:highlight w:val="none"/>
                <w14:textFill>
                  <w14:solidFill>
                    <w14:schemeClr w14:val="tx1"/>
                  </w14:solidFill>
                </w14:textFill>
              </w:rPr>
              <w:t>居</w:t>
            </w:r>
            <w:r>
              <w:rPr>
                <w:rFonts w:hint="eastAsia"/>
                <w:color w:val="000000" w:themeColor="text1"/>
                <w:sz w:val="24"/>
                <w:szCs w:val="24"/>
                <w:highlight w:val="none"/>
                <w14:textFill>
                  <w14:solidFill>
                    <w14:schemeClr w14:val="tx1"/>
                  </w14:solidFill>
                </w14:textFill>
              </w:rPr>
              <w:t>民冬季供暖问题，</w:t>
            </w:r>
            <w:r>
              <w:rPr>
                <w:rFonts w:hint="eastAsia" w:eastAsia="宋体"/>
                <w:color w:val="000000" w:themeColor="text1"/>
                <w:sz w:val="24"/>
                <w:szCs w:val="24"/>
                <w:highlight w:val="none"/>
                <w:lang w:eastAsia="zh-CN"/>
                <w14:textFill>
                  <w14:solidFill>
                    <w14:schemeClr w14:val="tx1"/>
                  </w14:solidFill>
                </w14:textFill>
              </w:rPr>
              <w:t>嘉荫县向阳乡人民政府</w:t>
            </w:r>
            <w:r>
              <w:rPr>
                <w:rFonts w:hint="eastAsia"/>
                <w:color w:val="000000" w:themeColor="text1"/>
                <w:sz w:val="24"/>
                <w:szCs w:val="24"/>
                <w:highlight w:val="none"/>
                <w14:textFill>
                  <w14:solidFill>
                    <w14:schemeClr w14:val="tx1"/>
                  </w14:solidFill>
                </w14:textFill>
              </w:rPr>
              <w:t>决定建设</w:t>
            </w:r>
            <w:r>
              <w:rPr>
                <w:rFonts w:hint="eastAsia"/>
                <w:color w:val="000000" w:themeColor="text1"/>
                <w:sz w:val="24"/>
                <w:szCs w:val="24"/>
                <w:highlight w:val="none"/>
                <w:lang w:eastAsia="zh-CN"/>
                <w14:textFill>
                  <w14:solidFill>
                    <w14:schemeClr w14:val="tx1"/>
                  </w14:solidFill>
                </w14:textFill>
              </w:rPr>
              <w:t>嘉荫县向阳乡锅炉项目</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锅炉房</w:t>
            </w:r>
            <w:r>
              <w:rPr>
                <w:rFonts w:hint="eastAsia"/>
                <w:color w:val="000000" w:themeColor="text1"/>
                <w:sz w:val="24"/>
                <w:szCs w:val="24"/>
                <w:highlight w:val="none"/>
                <w14:textFill>
                  <w14:solidFill>
                    <w14:schemeClr w14:val="tx1"/>
                  </w14:solidFill>
                </w14:textFill>
              </w:rPr>
              <w:t>占地面积</w:t>
            </w:r>
            <w:r>
              <w:rPr>
                <w:rFonts w:hint="eastAsia"/>
                <w:color w:val="000000" w:themeColor="text1"/>
                <w:sz w:val="24"/>
                <w:szCs w:val="24"/>
                <w:highlight w:val="none"/>
                <w:lang w:eastAsia="zh-CN"/>
                <w14:textFill>
                  <w14:solidFill>
                    <w14:schemeClr w14:val="tx1"/>
                  </w14:solidFill>
                </w14:textFill>
              </w:rPr>
              <w:t>为</w:t>
            </w:r>
            <w:r>
              <w:rPr>
                <w:rFonts w:hint="eastAsia"/>
                <w:color w:val="000000" w:themeColor="text1"/>
                <w:sz w:val="24"/>
                <w:szCs w:val="24"/>
                <w:highlight w:val="none"/>
                <w:lang w:val="en-US" w:eastAsia="zh-CN"/>
                <w14:textFill>
                  <w14:solidFill>
                    <w14:schemeClr w14:val="tx1"/>
                  </w14:solidFill>
                </w14:textFill>
              </w:rPr>
              <w:t>300</w:t>
            </w:r>
            <w:r>
              <w:rPr>
                <w:rFonts w:hint="eastAsia"/>
                <w:color w:val="000000" w:themeColor="text1"/>
                <w:sz w:val="24"/>
                <w:szCs w:val="24"/>
                <w:highlight w:val="none"/>
                <w14:textFill>
                  <w14:solidFill>
                    <w14:schemeClr w14:val="tx1"/>
                  </w14:solidFill>
                </w14:textFill>
              </w:rPr>
              <w:t>m</w:t>
            </w:r>
            <w:r>
              <w:rPr>
                <w:rFonts w:hint="eastAsia"/>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vertAlign w:val="baseline"/>
                <w:lang w:eastAsia="zh-CN"/>
                <w14:textFill>
                  <w14:solidFill>
                    <w14:schemeClr w14:val="tx1"/>
                  </w14:solidFill>
                </w14:textFill>
              </w:rPr>
              <w:t>，</w:t>
            </w:r>
            <w:r>
              <w:rPr>
                <w:rFonts w:hint="eastAsia"/>
                <w:color w:val="000000" w:themeColor="text1"/>
                <w:sz w:val="24"/>
                <w:szCs w:val="24"/>
                <w:highlight w:val="none"/>
                <w:vertAlign w:val="baseline"/>
                <w:lang w:val="en-US" w:eastAsia="zh-CN"/>
                <w14:textFill>
                  <w14:solidFill>
                    <w14:schemeClr w14:val="tx1"/>
                  </w14:solidFill>
                </w14:textFill>
              </w:rPr>
              <w:t>内</w:t>
            </w:r>
            <w:r>
              <w:rPr>
                <w:rFonts w:hint="eastAsia" w:ascii="Times New Roman"/>
                <w:color w:val="000000" w:themeColor="text1"/>
                <w:sz w:val="24"/>
                <w:szCs w:val="24"/>
                <w:highlight w:val="none"/>
                <w:lang w:val="en-US" w:eastAsia="zh-CN"/>
                <w14:textFill>
                  <w14:solidFill>
                    <w14:schemeClr w14:val="tx1"/>
                  </w14:solidFill>
                </w14:textFill>
              </w:rPr>
              <w:t>新建1台4.2MW燃生物质热水锅炉和1台2.8MW（备用）燃生物质热水锅炉</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供热面积</w:t>
            </w:r>
            <w:r>
              <w:rPr>
                <w:rFonts w:hint="eastAsia"/>
                <w:color w:val="000000" w:themeColor="text1"/>
                <w:sz w:val="24"/>
                <w:szCs w:val="24"/>
                <w:highlight w:val="none"/>
                <w:lang w:val="en-US" w:eastAsia="zh-CN"/>
                <w14:textFill>
                  <w14:solidFill>
                    <w14:schemeClr w14:val="tx1"/>
                  </w14:solidFill>
                </w14:textFill>
              </w:rPr>
              <w:t>3.1</w:t>
            </w:r>
            <w:r>
              <w:rPr>
                <w:rFonts w:hint="eastAsia"/>
                <w:color w:val="000000" w:themeColor="text1"/>
                <w:sz w:val="24"/>
                <w:szCs w:val="24"/>
                <w:highlight w:val="none"/>
                <w14:textFill>
                  <w14:solidFill>
                    <w14:schemeClr w14:val="tx1"/>
                  </w14:solidFill>
                </w14:textFill>
              </w:rPr>
              <w:t>万m</w:t>
            </w:r>
            <w:r>
              <w:rPr>
                <w:color w:val="000000" w:themeColor="text1"/>
                <w:sz w:val="24"/>
                <w:szCs w:val="24"/>
                <w:highlight w:val="none"/>
                <w:vertAlign w:val="super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w:t>
            </w:r>
            <w:r>
              <w:rPr>
                <w:color w:val="000000" w:themeColor="text1"/>
                <w:sz w:val="24"/>
                <w:highlight w:val="none"/>
                <w14:textFill>
                  <w14:solidFill>
                    <w14:schemeClr w14:val="tx1"/>
                  </w14:solidFill>
                </w14:textFill>
              </w:rPr>
              <w:t>项目组成表见下表。</w:t>
            </w:r>
          </w:p>
          <w:p>
            <w:pPr>
              <w:pStyle w:val="101"/>
              <w:adjustRightInd/>
              <w:snapToGrid/>
              <w:spacing w:line="240" w:lineRule="auto"/>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表2-1</w:t>
            </w:r>
            <w:r>
              <w:rPr>
                <w:b/>
                <w:color w:val="000000" w:themeColor="text1"/>
                <w:sz w:val="21"/>
                <w:szCs w:val="21"/>
                <w14:textFill>
                  <w14:solidFill>
                    <w14:schemeClr w14:val="tx1"/>
                  </w14:solidFill>
                </w14:textFill>
              </w:rPr>
              <w:t xml:space="preserve">  建设项目组成及建设内容表</w:t>
            </w:r>
          </w:p>
          <w:tbl>
            <w:tblPr>
              <w:tblStyle w:val="36"/>
              <w:tblW w:w="859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17"/>
              <w:gridCol w:w="6067"/>
              <w:gridCol w:w="11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tblHeader/>
                <w:jc w:val="center"/>
              </w:trPr>
              <w:tc>
                <w:tcPr>
                  <w:tcW w:w="1422" w:type="dxa"/>
                  <w:gridSpan w:val="2"/>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工程名称</w:t>
                  </w:r>
                </w:p>
              </w:tc>
              <w:tc>
                <w:tcPr>
                  <w:tcW w:w="6067" w:type="dxa"/>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hint="eastAsia"/>
                      <w:color w:val="000000" w:themeColor="text1"/>
                      <w:sz w:val="21"/>
                      <w:szCs w:val="21"/>
                      <w14:textFill>
                        <w14:solidFill>
                          <w14:schemeClr w14:val="tx1"/>
                        </w14:solidFill>
                      </w14:textFill>
                    </w:rPr>
                    <w:t>建设内容</w:t>
                  </w:r>
                </w:p>
              </w:tc>
              <w:tc>
                <w:tcPr>
                  <w:tcW w:w="1110" w:type="dxa"/>
                  <w:vAlign w:val="center"/>
                </w:tcPr>
                <w:p>
                  <w:pPr>
                    <w:pStyle w:val="69"/>
                    <w:spacing w:before="24" w:after="24" w:line="240" w:lineRule="auto"/>
                    <w:jc w:val="center"/>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05" w:type="dxa"/>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主体工程</w:t>
                  </w:r>
                </w:p>
              </w:tc>
              <w:tc>
                <w:tcPr>
                  <w:tcW w:w="717" w:type="dxa"/>
                  <w:shd w:val="clear" w:color="auto" w:fill="auto"/>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锅炉房</w:t>
                  </w:r>
                </w:p>
              </w:tc>
              <w:tc>
                <w:tcPr>
                  <w:tcW w:w="6067" w:type="dxa"/>
                  <w:shd w:val="clear" w:color="auto" w:fill="auto"/>
                  <w:vAlign w:val="center"/>
                </w:tcPr>
                <w:p>
                  <w:pPr>
                    <w:pStyle w:val="69"/>
                    <w:spacing w:before="24" w:after="24" w:line="240" w:lineRule="auto"/>
                    <w:jc w:val="both"/>
                    <w:rPr>
                      <w:rFonts w:hint="default" w:ascii="Times New Roman" w:eastAsia="宋体"/>
                      <w:color w:val="000000" w:themeColor="text1"/>
                      <w:szCs w:val="21"/>
                      <w:highlight w:val="none"/>
                      <w:lang w:val="en-US" w:eastAsia="zh-CN"/>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建筑面积</w:t>
                  </w:r>
                  <w:r>
                    <w:rPr>
                      <w:rFonts w:hint="eastAsia" w:ascii="Times New Roman"/>
                      <w:color w:val="000000" w:themeColor="text1"/>
                      <w:szCs w:val="21"/>
                      <w:highlight w:val="none"/>
                      <w:lang w:val="en-US" w:eastAsia="zh-CN"/>
                      <w14:textFill>
                        <w14:solidFill>
                          <w14:schemeClr w14:val="tx1"/>
                        </w14:solidFill>
                      </w14:textFill>
                    </w:rPr>
                    <w:t>300</w:t>
                  </w:r>
                  <w:r>
                    <w:rPr>
                      <w:rFonts w:hint="eastAsia" w:ascii="Times New Roman"/>
                      <w:color w:val="000000" w:themeColor="text1"/>
                      <w:szCs w:val="21"/>
                      <w:highlight w:val="none"/>
                      <w14:textFill>
                        <w14:solidFill>
                          <w14:schemeClr w14:val="tx1"/>
                        </w14:solidFill>
                      </w14:textFill>
                    </w:rPr>
                    <w:t>m</w:t>
                  </w:r>
                  <w:r>
                    <w:rPr>
                      <w:rFonts w:hint="eastAsia" w:ascii="Times New Roman"/>
                      <w:color w:val="000000" w:themeColor="text1"/>
                      <w:szCs w:val="21"/>
                      <w:highlight w:val="none"/>
                      <w:vertAlign w:val="superscript"/>
                      <w14:textFill>
                        <w14:solidFill>
                          <w14:schemeClr w14:val="tx1"/>
                        </w14:solidFill>
                      </w14:textFill>
                    </w:rPr>
                    <w:t>2</w:t>
                  </w:r>
                  <w:r>
                    <w:rPr>
                      <w:rFonts w:hint="eastAsia" w:ascii="Times New Roman"/>
                      <w:color w:val="000000" w:themeColor="text1"/>
                      <w:szCs w:val="21"/>
                      <w:highlight w:val="none"/>
                      <w14:textFill>
                        <w14:solidFill>
                          <w14:schemeClr w14:val="tx1"/>
                        </w14:solidFill>
                      </w14:textFill>
                    </w:rPr>
                    <w:t>，</w:t>
                  </w:r>
                  <w:r>
                    <w:rPr>
                      <w:rFonts w:hint="eastAsia" w:ascii="Times New Roman"/>
                      <w:color w:val="000000" w:themeColor="text1"/>
                      <w:szCs w:val="21"/>
                      <w:highlight w:val="none"/>
                      <w:lang w:val="en-US" w:eastAsia="zh-CN"/>
                      <w14:textFill>
                        <w14:solidFill>
                          <w14:schemeClr w14:val="tx1"/>
                        </w14:solidFill>
                      </w14:textFill>
                    </w:rPr>
                    <w:t>新建1台4.2MW燃生物质热水锅炉和1台2.8MW（备用）燃生物质热水锅炉</w:t>
                  </w:r>
                  <w:r>
                    <w:rPr>
                      <w:rFonts w:hint="eastAsia" w:ascii="Times New Roman"/>
                      <w:color w:val="000000" w:themeColor="text1"/>
                      <w:szCs w:val="21"/>
                      <w:highlight w:val="none"/>
                      <w14:textFill>
                        <w14:solidFill>
                          <w14:schemeClr w14:val="tx1"/>
                        </w14:solidFill>
                      </w14:textFill>
                    </w:rPr>
                    <w:t>，</w:t>
                  </w:r>
                  <w:r>
                    <w:rPr>
                      <w:rFonts w:hint="eastAsia" w:ascii="Times New Roman"/>
                      <w:color w:val="000000" w:themeColor="text1"/>
                      <w:szCs w:val="21"/>
                      <w:highlight w:val="none"/>
                      <w:lang w:val="en-US" w:eastAsia="zh-CN"/>
                      <w14:textFill>
                        <w14:solidFill>
                          <w14:schemeClr w14:val="tx1"/>
                        </w14:solidFill>
                      </w14:textFill>
                    </w:rPr>
                    <w:t>2台锅炉均</w:t>
                  </w:r>
                  <w:r>
                    <w:rPr>
                      <w:rFonts w:hint="eastAsia" w:ascii="Times New Roman"/>
                      <w:color w:val="000000" w:themeColor="text1"/>
                      <w:szCs w:val="21"/>
                      <w:highlight w:val="none"/>
                      <w14:textFill>
                        <w14:solidFill>
                          <w14:schemeClr w14:val="tx1"/>
                        </w14:solidFill>
                      </w14:textFill>
                    </w:rPr>
                    <w:t>采用低氮燃烧技术，配套旋风+布袋除尘器</w:t>
                  </w:r>
                  <w:r>
                    <w:rPr>
                      <w:rFonts w:hint="eastAsia" w:ascii="Times New Roman"/>
                      <w:color w:val="000000" w:themeColor="text1"/>
                      <w:szCs w:val="21"/>
                      <w:highlight w:val="none"/>
                      <w:lang w:val="en-US" w:eastAsia="zh-CN"/>
                      <w14:textFill>
                        <w14:solidFill>
                          <w14:schemeClr w14:val="tx1"/>
                        </w14:solidFill>
                      </w14:textFill>
                    </w:rPr>
                    <w:t>处理后的锅炉烟气经40</w:t>
                  </w:r>
                  <w:r>
                    <w:rPr>
                      <w:rFonts w:hint="eastAsia" w:ascii="Times New Roman"/>
                      <w:color w:val="000000" w:themeColor="text1"/>
                      <w:szCs w:val="21"/>
                      <w:highlight w:val="none"/>
                      <w14:textFill>
                        <w14:solidFill>
                          <w14:schemeClr w14:val="tx1"/>
                        </w14:solidFill>
                      </w14:textFill>
                    </w:rPr>
                    <w:t>m高</w:t>
                  </w:r>
                  <w:r>
                    <w:rPr>
                      <w:rFonts w:hint="eastAsia" w:ascii="Times New Roman"/>
                      <w:color w:val="000000" w:themeColor="text1"/>
                      <w:szCs w:val="21"/>
                      <w:highlight w:val="none"/>
                      <w:lang w:val="en-US" w:eastAsia="zh-CN"/>
                      <w14:textFill>
                        <w14:solidFill>
                          <w14:schemeClr w14:val="tx1"/>
                        </w14:solidFill>
                      </w14:textFill>
                    </w:rPr>
                    <w:t>烟囱排放</w:t>
                  </w:r>
                </w:p>
              </w:tc>
              <w:tc>
                <w:tcPr>
                  <w:tcW w:w="1110" w:type="dxa"/>
                  <w:shd w:val="clear" w:color="auto" w:fill="auto"/>
                  <w:vAlign w:val="center"/>
                </w:tcPr>
                <w:p>
                  <w:pPr>
                    <w:pStyle w:val="69"/>
                    <w:spacing w:before="24" w:after="24" w:line="240" w:lineRule="auto"/>
                    <w:jc w:val="center"/>
                    <w:rPr>
                      <w:rFonts w:hint="default" w:ascii="Times New Roman" w:eastAsia="宋体"/>
                      <w:color w:val="000000" w:themeColor="text1"/>
                      <w:szCs w:val="21"/>
                      <w:highlight w:val="none"/>
                      <w:lang w:val="en-US" w:eastAsia="zh-CN"/>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05" w:type="dxa"/>
                  <w:vMerge w:val="restart"/>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储运工程</w:t>
                  </w:r>
                </w:p>
              </w:tc>
              <w:tc>
                <w:tcPr>
                  <w:tcW w:w="717" w:type="dxa"/>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灰渣仓</w:t>
                  </w:r>
                </w:p>
              </w:tc>
              <w:tc>
                <w:tcPr>
                  <w:tcW w:w="6067" w:type="dxa"/>
                  <w:vAlign w:val="center"/>
                </w:tcPr>
                <w:p>
                  <w:pPr>
                    <w:pStyle w:val="69"/>
                    <w:spacing w:before="24" w:after="24" w:line="240" w:lineRule="auto"/>
                    <w:jc w:val="both"/>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14:textFill>
                        <w14:solidFill>
                          <w14:schemeClr w14:val="tx1"/>
                        </w14:solidFill>
                      </w14:textFill>
                    </w:rPr>
                    <w:t>本项目灰渣仓位于锅炉房内，面积约30m</w:t>
                  </w:r>
                  <w:r>
                    <w:rPr>
                      <w:rFonts w:hint="eastAsia" w:ascii="Times New Roman"/>
                      <w:color w:val="000000" w:themeColor="text1"/>
                      <w:szCs w:val="21"/>
                      <w:vertAlign w:val="superscript"/>
                      <w14:textFill>
                        <w14:solidFill>
                          <w14:schemeClr w14:val="tx1"/>
                        </w14:solidFill>
                      </w14:textFill>
                    </w:rPr>
                    <w:t>2</w:t>
                  </w:r>
                  <w:r>
                    <w:rPr>
                      <w:rFonts w:hint="eastAsia" w:ascii="Times New Roman"/>
                      <w:color w:val="000000" w:themeColor="text1"/>
                      <w:szCs w:val="21"/>
                      <w14:textFill>
                        <w14:solidFill>
                          <w14:schemeClr w14:val="tx1"/>
                        </w14:solidFill>
                      </w14:textFill>
                    </w:rPr>
                    <w:t>，用于储存灰渣</w:t>
                  </w:r>
                  <w:r>
                    <w:rPr>
                      <w:rStyle w:val="42"/>
                      <w:rFonts w:hint="eastAsia" w:ascii="Times New Roman"/>
                      <w:color w:val="000000" w:themeColor="text1"/>
                      <w:lang w:eastAsia="zh-CN"/>
                      <w14:textFill>
                        <w14:solidFill>
                          <w14:schemeClr w14:val="tx1"/>
                        </w14:solidFill>
                      </w14:textFill>
                    </w:rPr>
                    <w:t>，</w:t>
                  </w:r>
                  <w:r>
                    <w:rPr>
                      <w:rFonts w:hint="eastAsia" w:ascii="Times New Roman"/>
                      <w:color w:val="000000" w:themeColor="text1"/>
                      <w:szCs w:val="21"/>
                      <w14:textFill>
                        <w14:solidFill>
                          <w14:schemeClr w14:val="tx1"/>
                        </w14:solidFill>
                      </w14:textFill>
                    </w:rPr>
                    <w:t>采用编织袋密封储</w:t>
                  </w:r>
                  <w:r>
                    <w:rPr>
                      <w:rFonts w:hint="eastAsia" w:ascii="Times New Roman"/>
                      <w:color w:val="000000" w:themeColor="text1"/>
                      <w:szCs w:val="21"/>
                      <w:highlight w:val="none"/>
                      <w14:textFill>
                        <w14:solidFill>
                          <w14:schemeClr w14:val="tx1"/>
                        </w14:solidFill>
                      </w14:textFill>
                    </w:rPr>
                    <w:t>存</w:t>
                  </w:r>
                  <w:r>
                    <w:rPr>
                      <w:rStyle w:val="42"/>
                      <w:rFonts w:hint="eastAsia" w:ascii="Times New Roman"/>
                      <w:color w:val="000000" w:themeColor="text1"/>
                      <w:highlight w:val="none"/>
                      <w:lang w:eastAsia="zh-CN"/>
                      <w14:textFill>
                        <w14:solidFill>
                          <w14:schemeClr w14:val="tx1"/>
                        </w14:solidFill>
                      </w14:textFill>
                    </w:rPr>
                    <w:t>，</w:t>
                  </w:r>
                  <w:r>
                    <w:rPr>
                      <w:rStyle w:val="42"/>
                      <w:rFonts w:hint="eastAsia" w:ascii="Times New Roman"/>
                      <w:color w:val="000000" w:themeColor="text1"/>
                      <w:highlight w:val="none"/>
                      <w:lang w:val="en-US" w:eastAsia="zh-CN"/>
                      <w14:textFill>
                        <w14:solidFill>
                          <w14:schemeClr w14:val="tx1"/>
                        </w14:solidFill>
                      </w14:textFill>
                    </w:rPr>
                    <w:t>最大储存量为60t，转运周期每月一次</w:t>
                  </w:r>
                </w:p>
              </w:tc>
              <w:tc>
                <w:tcPr>
                  <w:tcW w:w="1110" w:type="dxa"/>
                  <w:vAlign w:val="center"/>
                </w:tcPr>
                <w:p>
                  <w:pPr>
                    <w:pStyle w:val="69"/>
                    <w:spacing w:before="24" w:after="24" w:line="240" w:lineRule="auto"/>
                    <w:jc w:val="center"/>
                    <w:rPr>
                      <w:rFonts w:ascii="Times New Roman"/>
                      <w:color w:val="000000" w:themeColor="text1"/>
                      <w:szCs w:val="2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05" w:type="dxa"/>
                  <w:vMerge w:val="continue"/>
                  <w:vAlign w:val="center"/>
                </w:tcPr>
                <w:p>
                  <w:pPr>
                    <w:pStyle w:val="69"/>
                    <w:spacing w:before="24" w:after="24" w:line="240" w:lineRule="auto"/>
                    <w:rPr>
                      <w:rFonts w:ascii="Times New Roman"/>
                      <w:color w:val="000000" w:themeColor="text1"/>
                      <w:szCs w:val="21"/>
                      <w14:textFill>
                        <w14:solidFill>
                          <w14:schemeClr w14:val="tx1"/>
                        </w14:solidFill>
                      </w14:textFill>
                    </w:rPr>
                  </w:pPr>
                </w:p>
              </w:tc>
              <w:tc>
                <w:tcPr>
                  <w:tcW w:w="717" w:type="dxa"/>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燃料仓</w:t>
                  </w:r>
                </w:p>
              </w:tc>
              <w:tc>
                <w:tcPr>
                  <w:tcW w:w="6067" w:type="dxa"/>
                  <w:vAlign w:val="center"/>
                </w:tcPr>
                <w:p>
                  <w:pPr>
                    <w:pStyle w:val="69"/>
                    <w:spacing w:before="24" w:after="24" w:line="240" w:lineRule="auto"/>
                    <w:jc w:val="both"/>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14:textFill>
                        <w14:solidFill>
                          <w14:schemeClr w14:val="tx1"/>
                        </w14:solidFill>
                      </w14:textFill>
                    </w:rPr>
                    <w:t>燃料储存在燃料仓，面积约</w:t>
                  </w:r>
                  <w:r>
                    <w:rPr>
                      <w:rFonts w:hint="eastAsia" w:ascii="Times New Roman"/>
                      <w:color w:val="000000" w:themeColor="text1"/>
                      <w:szCs w:val="21"/>
                      <w:lang w:val="en-US" w:eastAsia="zh-CN"/>
                      <w14:textFill>
                        <w14:solidFill>
                          <w14:schemeClr w14:val="tx1"/>
                        </w14:solidFill>
                      </w14:textFill>
                    </w:rPr>
                    <w:t>100</w:t>
                  </w:r>
                  <w:r>
                    <w:rPr>
                      <w:rFonts w:hint="eastAsia" w:ascii="Times New Roman"/>
                      <w:color w:val="000000" w:themeColor="text1"/>
                      <w:szCs w:val="21"/>
                      <w14:textFill>
                        <w14:solidFill>
                          <w14:schemeClr w14:val="tx1"/>
                        </w14:solidFill>
                      </w14:textFill>
                    </w:rPr>
                    <w:t>m</w:t>
                  </w:r>
                  <w:r>
                    <w:rPr>
                      <w:rFonts w:hint="eastAsia" w:ascii="Times New Roman"/>
                      <w:color w:val="000000" w:themeColor="text1"/>
                      <w:szCs w:val="21"/>
                      <w:vertAlign w:val="superscript"/>
                      <w14:textFill>
                        <w14:solidFill>
                          <w14:schemeClr w14:val="tx1"/>
                        </w14:solidFill>
                      </w14:textFill>
                    </w:rPr>
                    <w:t>2</w:t>
                  </w:r>
                  <w:r>
                    <w:rPr>
                      <w:rFonts w:hint="eastAsia" w:ascii="Times New Roman"/>
                      <w:color w:val="000000" w:themeColor="text1"/>
                      <w:szCs w:val="21"/>
                      <w:highlight w:val="none"/>
                      <w14:textFill>
                        <w14:solidFill>
                          <w14:schemeClr w14:val="tx1"/>
                        </w14:solidFill>
                      </w14:textFill>
                    </w:rPr>
                    <w:t>，</w:t>
                  </w:r>
                  <w:r>
                    <w:rPr>
                      <w:rFonts w:hint="eastAsia" w:ascii="Times New Roman"/>
                      <w:color w:val="000000" w:themeColor="text1"/>
                      <w:szCs w:val="21"/>
                      <w:highlight w:val="none"/>
                      <w:lang w:val="en-US" w:eastAsia="zh-CN"/>
                      <w14:textFill>
                        <w14:solidFill>
                          <w14:schemeClr w14:val="tx1"/>
                        </w14:solidFill>
                      </w14:textFill>
                    </w:rPr>
                    <w:t>最大储存量为200t，</w:t>
                  </w:r>
                  <w:r>
                    <w:rPr>
                      <w:rFonts w:hint="eastAsia" w:ascii="Times New Roman"/>
                      <w:color w:val="000000" w:themeColor="text1"/>
                      <w:szCs w:val="21"/>
                      <w:highlight w:val="none"/>
                      <w14:textFill>
                        <w14:solidFill>
                          <w14:schemeClr w14:val="tx1"/>
                        </w14:solidFill>
                      </w14:textFill>
                    </w:rPr>
                    <w:t>采用编织袋密封储存</w:t>
                  </w:r>
                  <w:r>
                    <w:rPr>
                      <w:rStyle w:val="42"/>
                      <w:rFonts w:hint="eastAsia" w:ascii="Times New Roman"/>
                      <w:color w:val="000000" w:themeColor="text1"/>
                      <w:highlight w:val="none"/>
                      <w:lang w:eastAsia="zh-CN"/>
                      <w14:textFill>
                        <w14:solidFill>
                          <w14:schemeClr w14:val="tx1"/>
                        </w14:solidFill>
                      </w14:textFill>
                    </w:rPr>
                    <w:t>，</w:t>
                  </w:r>
                  <w:r>
                    <w:rPr>
                      <w:rStyle w:val="42"/>
                      <w:rFonts w:hint="eastAsia" w:ascii="Times New Roman"/>
                      <w:color w:val="000000" w:themeColor="text1"/>
                      <w:highlight w:val="none"/>
                      <w:lang w:val="en-US" w:eastAsia="zh-CN"/>
                      <w14:textFill>
                        <w14:solidFill>
                          <w14:schemeClr w14:val="tx1"/>
                        </w14:solidFill>
                      </w14:textFill>
                    </w:rPr>
                    <w:t>转运周期约8天1次。</w:t>
                  </w:r>
                </w:p>
              </w:tc>
              <w:tc>
                <w:tcPr>
                  <w:tcW w:w="1110" w:type="dxa"/>
                  <w:vAlign w:val="center"/>
                </w:tcPr>
                <w:p>
                  <w:pPr>
                    <w:pStyle w:val="69"/>
                    <w:spacing w:before="24" w:after="24" w:line="240" w:lineRule="auto"/>
                    <w:jc w:val="center"/>
                    <w:rPr>
                      <w:rFonts w:ascii="Times New Roman"/>
                      <w:color w:val="000000" w:themeColor="text1"/>
                      <w:szCs w:val="2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jc w:val="center"/>
              </w:trPr>
              <w:tc>
                <w:tcPr>
                  <w:tcW w:w="705" w:type="dxa"/>
                  <w:vMerge w:val="restart"/>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公用工程</w:t>
                  </w:r>
                </w:p>
              </w:tc>
              <w:tc>
                <w:tcPr>
                  <w:tcW w:w="717" w:type="dxa"/>
                  <w:vAlign w:val="center"/>
                </w:tcPr>
                <w:p>
                  <w:pPr>
                    <w:pStyle w:val="69"/>
                    <w:spacing w:before="24" w:after="24" w:line="240" w:lineRule="auto"/>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供水</w:t>
                  </w:r>
                </w:p>
              </w:tc>
              <w:tc>
                <w:tcPr>
                  <w:tcW w:w="6067" w:type="dxa"/>
                  <w:vAlign w:val="center"/>
                </w:tcPr>
                <w:p>
                  <w:pPr>
                    <w:pStyle w:val="69"/>
                    <w:spacing w:before="24" w:after="24" w:line="240" w:lineRule="auto"/>
                    <w:jc w:val="both"/>
                    <w:rPr>
                      <w:rFonts w:ascii="Times New Roman"/>
                      <w:color w:val="000000" w:themeColor="text1"/>
                      <w:szCs w:val="21"/>
                      <w:highlight w:val="none"/>
                      <w14:textFill>
                        <w14:solidFill>
                          <w14:schemeClr w14:val="tx1"/>
                        </w14:solidFill>
                      </w14:textFill>
                    </w:rPr>
                  </w:pPr>
                  <w:r>
                    <w:rPr>
                      <w:szCs w:val="21"/>
                      <w:highlight w:val="none"/>
                    </w:rPr>
                    <w:t>本项目用水由</w:t>
                  </w:r>
                  <w:r>
                    <w:rPr>
                      <w:rFonts w:hint="eastAsia"/>
                      <w:szCs w:val="21"/>
                      <w:highlight w:val="none"/>
                      <w:lang w:val="en-US" w:eastAsia="zh-CN"/>
                    </w:rPr>
                    <w:t>市政供水管网</w:t>
                  </w:r>
                  <w:r>
                    <w:rPr>
                      <w:szCs w:val="21"/>
                      <w:highlight w:val="none"/>
                    </w:rPr>
                    <w:t>提供。</w:t>
                  </w:r>
                </w:p>
              </w:tc>
              <w:tc>
                <w:tcPr>
                  <w:tcW w:w="1110" w:type="dxa"/>
                  <w:vAlign w:val="center"/>
                </w:tcPr>
                <w:p>
                  <w:pPr>
                    <w:pStyle w:val="69"/>
                    <w:spacing w:before="24" w:after="24" w:line="240" w:lineRule="auto"/>
                    <w:jc w:val="center"/>
                    <w:rPr>
                      <w:rFonts w:ascii="Times New Roman"/>
                      <w:color w:val="000000" w:themeColor="text1"/>
                      <w:szCs w:val="2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705" w:type="dxa"/>
                  <w:vMerge w:val="continue"/>
                  <w:vAlign w:val="center"/>
                </w:tcPr>
                <w:p>
                  <w:pPr>
                    <w:pStyle w:val="69"/>
                    <w:spacing w:before="24" w:after="24" w:line="240" w:lineRule="auto"/>
                    <w:rPr>
                      <w:rFonts w:ascii="Times New Roman"/>
                      <w:color w:val="000000" w:themeColor="text1"/>
                      <w:szCs w:val="21"/>
                      <w14:textFill>
                        <w14:solidFill>
                          <w14:schemeClr w14:val="tx1"/>
                        </w14:solidFill>
                      </w14:textFill>
                    </w:rPr>
                  </w:pPr>
                </w:p>
              </w:tc>
              <w:tc>
                <w:tcPr>
                  <w:tcW w:w="717" w:type="dxa"/>
                  <w:vAlign w:val="center"/>
                </w:tcPr>
                <w:p>
                  <w:pPr>
                    <w:pStyle w:val="69"/>
                    <w:spacing w:before="24" w:after="24" w:line="240" w:lineRule="auto"/>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排水</w:t>
                  </w:r>
                </w:p>
              </w:tc>
              <w:tc>
                <w:tcPr>
                  <w:tcW w:w="6067" w:type="dxa"/>
                  <w:vAlign w:val="center"/>
                </w:tcPr>
                <w:p>
                  <w:pPr>
                    <w:pStyle w:val="69"/>
                    <w:spacing w:before="24" w:after="24" w:line="240" w:lineRule="auto"/>
                    <w:jc w:val="both"/>
                    <w:rPr>
                      <w:rFonts w:ascii="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生活污水和锅炉系统排污水通过市政管网排放至向阳乡雪水温村污水处理站</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处理达标后排放至黑龙江。</w:t>
                  </w:r>
                </w:p>
              </w:tc>
              <w:tc>
                <w:tcPr>
                  <w:tcW w:w="1110" w:type="dxa"/>
                  <w:vAlign w:val="center"/>
                </w:tcPr>
                <w:p>
                  <w:pPr>
                    <w:spacing w:before="24" w:after="24" w:line="240" w:lineRule="auto"/>
                    <w:jc w:val="center"/>
                    <w:rPr>
                      <w:rFonts w:ascii="Times New Roman"/>
                      <w:color w:val="000000" w:themeColor="text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705" w:type="dxa"/>
                  <w:vMerge w:val="continue"/>
                  <w:vAlign w:val="center"/>
                </w:tcPr>
                <w:p>
                  <w:pPr>
                    <w:pStyle w:val="69"/>
                    <w:spacing w:before="24" w:after="24" w:line="240" w:lineRule="auto"/>
                    <w:rPr>
                      <w:rFonts w:ascii="Times New Roman"/>
                      <w:color w:val="000000" w:themeColor="text1"/>
                      <w:szCs w:val="21"/>
                      <w14:textFill>
                        <w14:solidFill>
                          <w14:schemeClr w14:val="tx1"/>
                        </w14:solidFill>
                      </w14:textFill>
                    </w:rPr>
                  </w:pPr>
                </w:p>
              </w:tc>
              <w:tc>
                <w:tcPr>
                  <w:tcW w:w="717" w:type="dxa"/>
                  <w:vAlign w:val="center"/>
                </w:tcPr>
                <w:p>
                  <w:pPr>
                    <w:pStyle w:val="69"/>
                    <w:spacing w:before="24" w:after="24" w:line="240" w:lineRule="auto"/>
                    <w:rPr>
                      <w:rFonts w:hint="eastAsia"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供热</w:t>
                  </w:r>
                </w:p>
              </w:tc>
              <w:tc>
                <w:tcPr>
                  <w:tcW w:w="6067" w:type="dxa"/>
                  <w:vAlign w:val="center"/>
                </w:tcPr>
                <w:p>
                  <w:pPr>
                    <w:pStyle w:val="132"/>
                    <w:spacing w:line="240" w:lineRule="auto"/>
                    <w:ind w:left="0" w:leftChars="0" w:firstLine="0" w:firstLineChars="0"/>
                    <w:jc w:val="left"/>
                    <w:rPr>
                      <w:rFonts w:hint="eastAsia" w:ascii="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本项目供热热源由项目本身提供。</w:t>
                  </w:r>
                </w:p>
              </w:tc>
              <w:tc>
                <w:tcPr>
                  <w:tcW w:w="1110" w:type="dxa"/>
                  <w:vAlign w:val="center"/>
                </w:tcPr>
                <w:p>
                  <w:pPr>
                    <w:spacing w:before="24" w:after="24" w:line="240" w:lineRule="auto"/>
                    <w:jc w:val="center"/>
                    <w:rPr>
                      <w:rFonts w:hint="eastAsia" w:ascii="Times New Roman"/>
                      <w:color w:val="000000" w:themeColor="text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05" w:type="dxa"/>
                  <w:vMerge w:val="continue"/>
                  <w:vAlign w:val="center"/>
                </w:tcPr>
                <w:p>
                  <w:pPr>
                    <w:pStyle w:val="69"/>
                    <w:spacing w:before="24" w:after="24" w:line="240" w:lineRule="auto"/>
                    <w:rPr>
                      <w:rFonts w:ascii="Times New Roman"/>
                      <w:color w:val="000000" w:themeColor="text1"/>
                      <w:szCs w:val="21"/>
                      <w14:textFill>
                        <w14:solidFill>
                          <w14:schemeClr w14:val="tx1"/>
                        </w14:solidFill>
                      </w14:textFill>
                    </w:rPr>
                  </w:pPr>
                </w:p>
              </w:tc>
              <w:tc>
                <w:tcPr>
                  <w:tcW w:w="717" w:type="dxa"/>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供电</w:t>
                  </w:r>
                </w:p>
              </w:tc>
              <w:tc>
                <w:tcPr>
                  <w:tcW w:w="6067" w:type="dxa"/>
                  <w:vAlign w:val="center"/>
                </w:tcPr>
                <w:p>
                  <w:pPr>
                    <w:pStyle w:val="69"/>
                    <w:spacing w:before="24" w:after="24" w:line="240" w:lineRule="auto"/>
                    <w:jc w:val="left"/>
                    <w:rPr>
                      <w:rFonts w:ascii="Times New Roman"/>
                      <w:color w:val="000000" w:themeColor="text1"/>
                      <w:sz w:val="21"/>
                      <w:szCs w:val="21"/>
                      <w:highlight w:val="yellow"/>
                      <w14:textFill>
                        <w14:solidFill>
                          <w14:schemeClr w14:val="tx1"/>
                        </w14:solidFill>
                      </w14:textFill>
                    </w:rPr>
                  </w:pPr>
                  <w:r>
                    <w:rPr>
                      <w:rFonts w:hint="eastAsia"/>
                      <w:color w:val="000000" w:themeColor="text1"/>
                      <w:sz w:val="21"/>
                      <w:szCs w:val="21"/>
                      <w14:textFill>
                        <w14:solidFill>
                          <w14:schemeClr w14:val="tx1"/>
                        </w14:solidFill>
                      </w14:textFill>
                    </w:rPr>
                    <w:t>由市政电网供给。</w:t>
                  </w:r>
                </w:p>
              </w:tc>
              <w:tc>
                <w:tcPr>
                  <w:tcW w:w="1110" w:type="dxa"/>
                  <w:vAlign w:val="center"/>
                </w:tcPr>
                <w:p>
                  <w:pPr>
                    <w:spacing w:before="24" w:after="24" w:line="240" w:lineRule="auto"/>
                    <w:jc w:val="center"/>
                    <w:rPr>
                      <w:rFonts w:ascii="Times New Roman"/>
                      <w:color w:val="000000" w:themeColor="text1"/>
                      <w:szCs w:val="2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05" w:type="dxa"/>
                  <w:vMerge w:val="restart"/>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环保工程</w:t>
                  </w:r>
                </w:p>
              </w:tc>
              <w:tc>
                <w:tcPr>
                  <w:tcW w:w="717" w:type="dxa"/>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废气处理</w:t>
                  </w:r>
                </w:p>
              </w:tc>
              <w:tc>
                <w:tcPr>
                  <w:tcW w:w="6067" w:type="dxa"/>
                  <w:vAlign w:val="center"/>
                </w:tcPr>
                <w:p>
                  <w:pPr>
                    <w:pStyle w:val="69"/>
                    <w:spacing w:before="24" w:after="24" w:line="240" w:lineRule="auto"/>
                    <w:jc w:val="both"/>
                    <w:rPr>
                      <w:rFonts w:ascii="Times New Roman"/>
                      <w:color w:val="000000" w:themeColor="text1"/>
                      <w:szCs w:val="2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2台锅炉均</w:t>
                  </w:r>
                  <w:r>
                    <w:rPr>
                      <w:rFonts w:hint="eastAsia" w:ascii="Times New Roman"/>
                      <w:color w:val="000000" w:themeColor="text1"/>
                      <w:szCs w:val="21"/>
                      <w:highlight w:val="none"/>
                      <w14:textFill>
                        <w14:solidFill>
                          <w14:schemeClr w14:val="tx1"/>
                        </w14:solidFill>
                      </w14:textFill>
                    </w:rPr>
                    <w:t>采用低氮燃烧技术，配套旋风+布袋除尘器</w:t>
                  </w:r>
                  <w:r>
                    <w:rPr>
                      <w:rFonts w:hint="eastAsia" w:ascii="Times New Roman"/>
                      <w:color w:val="000000" w:themeColor="text1"/>
                      <w:szCs w:val="21"/>
                      <w:highlight w:val="none"/>
                      <w:lang w:val="en-US" w:eastAsia="zh-CN"/>
                      <w14:textFill>
                        <w14:solidFill>
                          <w14:schemeClr w14:val="tx1"/>
                        </w14:solidFill>
                      </w14:textFill>
                    </w:rPr>
                    <w:t>处理后的锅炉烟气经1跟40</w:t>
                  </w:r>
                  <w:r>
                    <w:rPr>
                      <w:rFonts w:hint="eastAsia" w:ascii="Times New Roman"/>
                      <w:color w:val="000000" w:themeColor="text1"/>
                      <w:szCs w:val="21"/>
                      <w:highlight w:val="none"/>
                      <w14:textFill>
                        <w14:solidFill>
                          <w14:schemeClr w14:val="tx1"/>
                        </w14:solidFill>
                      </w14:textFill>
                    </w:rPr>
                    <w:t>m高</w:t>
                  </w:r>
                  <w:r>
                    <w:rPr>
                      <w:rFonts w:hint="eastAsia" w:ascii="Times New Roman"/>
                      <w:color w:val="000000" w:themeColor="text1"/>
                      <w:szCs w:val="21"/>
                      <w:highlight w:val="none"/>
                      <w:lang w:val="en-US" w:eastAsia="zh-CN"/>
                      <w14:textFill>
                        <w14:solidFill>
                          <w14:schemeClr w14:val="tx1"/>
                        </w14:solidFill>
                      </w14:textFill>
                    </w:rPr>
                    <w:t>烟囱排放。</w:t>
                  </w:r>
                </w:p>
              </w:tc>
              <w:tc>
                <w:tcPr>
                  <w:tcW w:w="1110" w:type="dxa"/>
                  <w:vAlign w:val="center"/>
                </w:tcPr>
                <w:p>
                  <w:pPr>
                    <w:pStyle w:val="69"/>
                    <w:spacing w:before="24" w:after="24" w:line="240" w:lineRule="auto"/>
                    <w:jc w:val="center"/>
                    <w:rPr>
                      <w:rFonts w:ascii="Times New Roman"/>
                      <w:color w:val="000000" w:themeColor="text1"/>
                      <w:szCs w:val="2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05" w:type="dxa"/>
                  <w:vMerge w:val="continue"/>
                  <w:vAlign w:val="center"/>
                </w:tcPr>
                <w:p>
                  <w:pPr>
                    <w:pStyle w:val="69"/>
                    <w:spacing w:before="24" w:after="24" w:line="240" w:lineRule="auto"/>
                    <w:rPr>
                      <w:rFonts w:ascii="Times New Roman"/>
                      <w:color w:val="000000" w:themeColor="text1"/>
                      <w:szCs w:val="21"/>
                      <w14:textFill>
                        <w14:solidFill>
                          <w14:schemeClr w14:val="tx1"/>
                        </w14:solidFill>
                      </w14:textFill>
                    </w:rPr>
                  </w:pPr>
                </w:p>
              </w:tc>
              <w:tc>
                <w:tcPr>
                  <w:tcW w:w="717" w:type="dxa"/>
                  <w:vAlign w:val="center"/>
                </w:tcPr>
                <w:p>
                  <w:pPr>
                    <w:pStyle w:val="69"/>
                    <w:spacing w:before="24" w:after="24" w:line="240" w:lineRule="auto"/>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废水处理</w:t>
                  </w:r>
                </w:p>
              </w:tc>
              <w:tc>
                <w:tcPr>
                  <w:tcW w:w="6067" w:type="dxa"/>
                  <w:vAlign w:val="center"/>
                </w:tcPr>
                <w:p>
                  <w:pPr>
                    <w:pStyle w:val="69"/>
                    <w:spacing w:before="24" w:after="24" w:line="240" w:lineRule="auto"/>
                    <w:jc w:val="both"/>
                    <w:rPr>
                      <w:rFonts w:hint="default" w:asci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生活污水和锅炉系统排污水通过市政管网排放至向阳乡雪水温村污水处理站</w:t>
                  </w:r>
                  <w:r>
                    <w:rPr>
                      <w:rFonts w:hint="eastAsia" w:ascii="Times New Roman" w:hAnsi="Times New Roman" w:eastAsia="宋体" w:cs="Times New Roman"/>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处理达标后排放至黑龙江。</w:t>
                  </w:r>
                </w:p>
              </w:tc>
              <w:tc>
                <w:tcPr>
                  <w:tcW w:w="1110" w:type="dxa"/>
                  <w:vAlign w:val="center"/>
                </w:tcPr>
                <w:p>
                  <w:pPr>
                    <w:pStyle w:val="69"/>
                    <w:spacing w:before="24" w:after="24" w:line="240" w:lineRule="auto"/>
                    <w:jc w:val="center"/>
                    <w:rPr>
                      <w:rFonts w:hint="eastAsia" w:ascii="Times New Roman" w:eastAsia="宋体"/>
                      <w:color w:val="000000" w:themeColor="text1"/>
                      <w:highlight w:val="none"/>
                      <w:lang w:eastAsia="zh-CN"/>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705" w:type="dxa"/>
                  <w:vMerge w:val="continue"/>
                  <w:vAlign w:val="center"/>
                </w:tcPr>
                <w:p>
                  <w:pPr>
                    <w:pStyle w:val="69"/>
                    <w:spacing w:before="24" w:after="24" w:line="240" w:lineRule="auto"/>
                    <w:rPr>
                      <w:rFonts w:ascii="Times New Roman"/>
                      <w:color w:val="000000" w:themeColor="text1"/>
                      <w:szCs w:val="21"/>
                      <w14:textFill>
                        <w14:solidFill>
                          <w14:schemeClr w14:val="tx1"/>
                        </w14:solidFill>
                      </w14:textFill>
                    </w:rPr>
                  </w:pPr>
                </w:p>
              </w:tc>
              <w:tc>
                <w:tcPr>
                  <w:tcW w:w="717" w:type="dxa"/>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噪声防治</w:t>
                  </w:r>
                </w:p>
              </w:tc>
              <w:tc>
                <w:tcPr>
                  <w:tcW w:w="6067" w:type="dxa"/>
                  <w:vAlign w:val="center"/>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采用低噪声设备、隔声、消声以及减振等措</w:t>
                  </w:r>
                  <w:r>
                    <w:rPr>
                      <w:rFonts w:hint="eastAsia"/>
                      <w:color w:val="000000" w:themeColor="text1"/>
                      <w:szCs w:val="21"/>
                      <w14:textFill>
                        <w14:solidFill>
                          <w14:schemeClr w14:val="tx1"/>
                        </w14:solidFill>
                      </w14:textFill>
                    </w:rPr>
                    <w:t>施</w:t>
                  </w:r>
                </w:p>
              </w:tc>
              <w:tc>
                <w:tcPr>
                  <w:tcW w:w="1110" w:type="dxa"/>
                  <w:shd w:val="clear" w:color="auto" w:fill="auto"/>
                  <w:vAlign w:val="center"/>
                </w:tcPr>
                <w:p>
                  <w:pPr>
                    <w:pStyle w:val="69"/>
                    <w:spacing w:before="24" w:after="24" w:line="240" w:lineRule="auto"/>
                    <w:jc w:val="center"/>
                    <w:rPr>
                      <w:rFonts w:hint="eastAsia" w:ascii="Times New Roman" w:eastAsia="宋体"/>
                      <w:color w:val="000000" w:themeColor="text1"/>
                      <w:szCs w:val="21"/>
                      <w:lang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705" w:type="dxa"/>
                  <w:vMerge w:val="continue"/>
                  <w:vAlign w:val="center"/>
                </w:tcPr>
                <w:p>
                  <w:pPr>
                    <w:pStyle w:val="69"/>
                    <w:spacing w:before="24" w:after="24" w:line="240" w:lineRule="auto"/>
                    <w:rPr>
                      <w:rFonts w:ascii="Times New Roman"/>
                      <w:color w:val="000000" w:themeColor="text1"/>
                      <w:szCs w:val="21"/>
                      <w14:textFill>
                        <w14:solidFill>
                          <w14:schemeClr w14:val="tx1"/>
                        </w14:solidFill>
                      </w14:textFill>
                    </w:rPr>
                  </w:pPr>
                </w:p>
              </w:tc>
              <w:tc>
                <w:tcPr>
                  <w:tcW w:w="717" w:type="dxa"/>
                  <w:vAlign w:val="center"/>
                </w:tcPr>
                <w:p>
                  <w:pPr>
                    <w:pStyle w:val="69"/>
                    <w:spacing w:before="24" w:after="24"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固体废物</w:t>
                  </w:r>
                </w:p>
              </w:tc>
              <w:tc>
                <w:tcPr>
                  <w:tcW w:w="6067" w:type="dxa"/>
                  <w:vAlign w:val="center"/>
                </w:tcPr>
                <w:p>
                  <w:pPr>
                    <w:pStyle w:val="127"/>
                    <w:spacing w:line="240" w:lineRule="auto"/>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生活垃圾：集中收集，委托环卫部门统一处置。</w:t>
                  </w:r>
                </w:p>
                <w:p>
                  <w:pPr>
                    <w:pStyle w:val="127"/>
                    <w:spacing w:line="240" w:lineRule="auto"/>
                    <w:jc w:val="left"/>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灰渣：集中收集在</w:t>
                  </w:r>
                  <w:r>
                    <w:rPr>
                      <w:rFonts w:hint="eastAsia" w:ascii="Times New Roman"/>
                      <w:color w:val="000000" w:themeColor="text1"/>
                      <w:szCs w:val="21"/>
                      <w14:textFill>
                        <w14:solidFill>
                          <w14:schemeClr w14:val="tx1"/>
                        </w14:solidFill>
                      </w14:textFill>
                    </w:rPr>
                    <w:t>灰渣仓</w:t>
                  </w:r>
                  <w:r>
                    <w:rPr>
                      <w:rFonts w:hint="eastAsia"/>
                      <w:color w:val="000000" w:themeColor="text1"/>
                      <w:sz w:val="21"/>
                      <w:szCs w:val="21"/>
                      <w14:textFill>
                        <w14:solidFill>
                          <w14:schemeClr w14:val="tx1"/>
                        </w14:solidFill>
                      </w14:textFill>
                    </w:rPr>
                    <w:t>内，定期外售综合利用。</w:t>
                  </w:r>
                </w:p>
                <w:p>
                  <w:pPr>
                    <w:pStyle w:val="127"/>
                    <w:spacing w:line="240" w:lineRule="auto"/>
                    <w:jc w:val="left"/>
                    <w:rPr>
                      <w:color w:val="000000" w:themeColor="text1"/>
                      <w:kern w:val="0"/>
                      <w:szCs w:val="21"/>
                      <w14:textFill>
                        <w14:solidFill>
                          <w14:schemeClr w14:val="tx1"/>
                        </w14:solidFill>
                      </w14:textFill>
                    </w:rPr>
                  </w:pPr>
                  <w:r>
                    <w:rPr>
                      <w:rFonts w:hint="eastAsia"/>
                      <w:color w:val="000000" w:themeColor="text1"/>
                      <w:sz w:val="21"/>
                      <w:szCs w:val="21"/>
                      <w14:textFill>
                        <w14:solidFill>
                          <w14:schemeClr w14:val="tx1"/>
                        </w14:solidFill>
                      </w14:textFill>
                    </w:rPr>
                    <w:t>废布袋：厂家更换后回收处置。</w:t>
                  </w:r>
                </w:p>
              </w:tc>
              <w:tc>
                <w:tcPr>
                  <w:tcW w:w="1110" w:type="dxa"/>
                  <w:shd w:val="clear" w:color="auto" w:fill="auto"/>
                  <w:vAlign w:val="center"/>
                </w:tcPr>
                <w:p>
                  <w:pPr>
                    <w:pStyle w:val="69"/>
                    <w:spacing w:before="24" w:after="24" w:line="240" w:lineRule="auto"/>
                    <w:jc w:val="center"/>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新建</w:t>
                  </w:r>
                </w:p>
              </w:tc>
            </w:tr>
          </w:tbl>
          <w:p>
            <w:pPr>
              <w:spacing w:line="360" w:lineRule="auto"/>
              <w:rPr>
                <w:b/>
                <w:bCs/>
                <w:color w:val="000000" w:themeColor="text1"/>
                <w:sz w:val="24"/>
                <w14:textFill>
                  <w14:solidFill>
                    <w14:schemeClr w14:val="tx1"/>
                  </w14:solidFill>
                </w14:textFill>
              </w:rPr>
            </w:pPr>
            <w:bookmarkStart w:id="8" w:name="_Toc38800590"/>
            <w:bookmarkStart w:id="9" w:name="_Toc27534"/>
            <w:bookmarkStart w:id="10" w:name="_Toc25175"/>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、主要生产设备</w:t>
            </w:r>
            <w:bookmarkEnd w:id="8"/>
            <w:bookmarkEnd w:id="9"/>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本项目主要设备见下表。</w:t>
            </w:r>
          </w:p>
          <w:p>
            <w:pPr>
              <w:pStyle w:val="101"/>
              <w:adjustRightInd/>
              <w:snapToGrid/>
              <w:spacing w:line="240" w:lineRule="auto"/>
              <w:rPr>
                <w:b/>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表2-2</w:t>
            </w:r>
            <w:r>
              <w:rPr>
                <w:b/>
                <w:color w:val="000000" w:themeColor="text1"/>
                <w:sz w:val="21"/>
                <w:szCs w:val="21"/>
                <w14:textFill>
                  <w14:solidFill>
                    <w14:schemeClr w14:val="tx1"/>
                  </w14:solidFill>
                </w14:textFill>
              </w:rPr>
              <w:t xml:space="preserve">  主要设备一览表</w:t>
            </w:r>
          </w:p>
          <w:tbl>
            <w:tblPr>
              <w:tblStyle w:val="36"/>
              <w:tblW w:w="859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71"/>
              <w:gridCol w:w="3285"/>
              <w:gridCol w:w="723"/>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171" w:type="dxa"/>
                  <w:noWrap/>
                  <w:vAlign w:val="center"/>
                </w:tcPr>
                <w:p>
                  <w:pPr>
                    <w:widowControl/>
                    <w:spacing w:line="240" w:lineRule="auto"/>
                    <w:jc w:val="center"/>
                    <w:rPr>
                      <w:color w:val="000000" w:themeColor="text1"/>
                      <w:kern w:val="0"/>
                      <w:szCs w:val="21"/>
                      <w14:textFill>
                        <w14:solidFill>
                          <w14:schemeClr w14:val="tx1"/>
                        </w14:solidFill>
                      </w14:textFill>
                    </w:rPr>
                  </w:pPr>
                  <w:bookmarkStart w:id="11" w:name="_Toc38800591"/>
                  <w:r>
                    <w:rPr>
                      <w:color w:val="000000" w:themeColor="text1"/>
                      <w:kern w:val="0"/>
                      <w:szCs w:val="21"/>
                      <w14:textFill>
                        <w14:solidFill>
                          <w14:schemeClr w14:val="tx1"/>
                        </w14:solidFill>
                      </w14:textFill>
                    </w:rPr>
                    <w:t>名称</w:t>
                  </w:r>
                </w:p>
              </w:tc>
              <w:tc>
                <w:tcPr>
                  <w:tcW w:w="3285" w:type="dxa"/>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型号</w:t>
                  </w:r>
                </w:p>
              </w:tc>
              <w:tc>
                <w:tcPr>
                  <w:tcW w:w="723" w:type="dxa"/>
                  <w:noWrap/>
                  <w:vAlign w:val="center"/>
                </w:tcPr>
                <w:p>
                  <w:pPr>
                    <w:widowControl/>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数量</w:t>
                  </w:r>
                </w:p>
              </w:tc>
              <w:tc>
                <w:tcPr>
                  <w:tcW w:w="1420" w:type="dxa"/>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atLeast"/>
                <w:jc w:val="center"/>
              </w:trPr>
              <w:tc>
                <w:tcPr>
                  <w:tcW w:w="3171" w:type="dxa"/>
                  <w:noWrap/>
                  <w:vAlign w:val="center"/>
                </w:tcPr>
                <w:p>
                  <w:pPr>
                    <w:widowControl/>
                    <w:spacing w:line="240" w:lineRule="auto"/>
                    <w:jc w:val="center"/>
                    <w:rPr>
                      <w:color w:val="000000" w:themeColor="text1"/>
                      <w:kern w:val="0"/>
                      <w:szCs w:val="2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4.2MW燃生物质热水锅炉</w:t>
                  </w:r>
                </w:p>
              </w:tc>
              <w:tc>
                <w:tcPr>
                  <w:tcW w:w="3285" w:type="dxa"/>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23" w:type="dxa"/>
                  <w:noWrap/>
                  <w:vAlign w:val="center"/>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1420" w:type="dxa"/>
                </w:tcPr>
                <w:p>
                  <w:pPr>
                    <w:widowControl/>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171" w:type="dxa"/>
                  <w:noWrap/>
                  <w:vAlign w:val="center"/>
                </w:tcPr>
                <w:p>
                  <w:pPr>
                    <w:widowControl/>
                    <w:spacing w:line="240" w:lineRule="auto"/>
                    <w:jc w:val="center"/>
                    <w:rPr>
                      <w:rFonts w:hint="eastAsia"/>
                      <w:color w:val="000000" w:themeColor="text1"/>
                      <w:kern w:val="0"/>
                      <w:szCs w:val="21"/>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2.8MW燃生物质热水锅炉</w:t>
                  </w:r>
                </w:p>
              </w:tc>
              <w:tc>
                <w:tcPr>
                  <w:tcW w:w="3285" w:type="dxa"/>
                </w:tcPr>
                <w:p>
                  <w:pPr>
                    <w:widowControl/>
                    <w:spacing w:line="240" w:lineRule="auto"/>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23" w:type="dxa"/>
                  <w:noWrap/>
                  <w:vAlign w:val="center"/>
                </w:tcPr>
                <w:p>
                  <w:pPr>
                    <w:widowControl/>
                    <w:spacing w:line="240" w:lineRule="auto"/>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420" w:type="dxa"/>
                </w:tcPr>
                <w:p>
                  <w:pPr>
                    <w:widowControl/>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171" w:type="dxa"/>
                  <w:noWrap/>
                  <w:vAlign w:val="center"/>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水泵</w:t>
                  </w:r>
                </w:p>
              </w:tc>
              <w:tc>
                <w:tcPr>
                  <w:tcW w:w="3285" w:type="dxa"/>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23" w:type="dxa"/>
                  <w:noWrap/>
                  <w:vAlign w:val="center"/>
                </w:tcPr>
                <w:p>
                  <w:pPr>
                    <w:widowControl/>
                    <w:spacing w:line="240" w:lineRule="auto"/>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420" w:type="dxa"/>
                </w:tcPr>
                <w:p>
                  <w:pPr>
                    <w:widowControl/>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171" w:type="dxa"/>
                  <w:noWrap/>
                  <w:vAlign w:val="center"/>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风机</w:t>
                  </w:r>
                </w:p>
              </w:tc>
              <w:tc>
                <w:tcPr>
                  <w:tcW w:w="3285" w:type="dxa"/>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23" w:type="dxa"/>
                  <w:noWrap/>
                  <w:vAlign w:val="center"/>
                </w:tcPr>
                <w:p>
                  <w:pPr>
                    <w:widowControl/>
                    <w:spacing w:line="240" w:lineRule="auto"/>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420" w:type="dxa"/>
                </w:tcPr>
                <w:p>
                  <w:pPr>
                    <w:widowControl/>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171" w:type="dxa"/>
                  <w:noWrap/>
                  <w:vAlign w:val="center"/>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旋风除尘器</w:t>
                  </w:r>
                </w:p>
              </w:tc>
              <w:tc>
                <w:tcPr>
                  <w:tcW w:w="3285" w:type="dxa"/>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23" w:type="dxa"/>
                  <w:noWrap/>
                  <w:vAlign w:val="center"/>
                </w:tcPr>
                <w:p>
                  <w:pPr>
                    <w:widowControl/>
                    <w:spacing w:line="240" w:lineRule="auto"/>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420" w:type="dxa"/>
                </w:tcPr>
                <w:p>
                  <w:pPr>
                    <w:widowControl/>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171" w:type="dxa"/>
                  <w:noWrap/>
                  <w:vAlign w:val="center"/>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布袋除尘器</w:t>
                  </w:r>
                </w:p>
              </w:tc>
              <w:tc>
                <w:tcPr>
                  <w:tcW w:w="3285" w:type="dxa"/>
                </w:tcPr>
                <w:p>
                  <w:pPr>
                    <w:widowControl/>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723" w:type="dxa"/>
                  <w:noWrap/>
                  <w:vAlign w:val="center"/>
                </w:tcPr>
                <w:p>
                  <w:pPr>
                    <w:widowControl/>
                    <w:spacing w:line="240" w:lineRule="auto"/>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420" w:type="dxa"/>
                </w:tcPr>
                <w:p>
                  <w:pPr>
                    <w:widowControl/>
                    <w:spacing w:line="240" w:lineRule="auto"/>
                    <w:jc w:val="center"/>
                    <w:rPr>
                      <w:color w:val="000000" w:themeColor="text1"/>
                      <w:kern w:val="0"/>
                      <w:szCs w:val="21"/>
                      <w14:textFill>
                        <w14:solidFill>
                          <w14:schemeClr w14:val="tx1"/>
                        </w14:solidFill>
                      </w14:textFill>
                    </w:rPr>
                  </w:pPr>
                </w:p>
              </w:tc>
            </w:tr>
          </w:tbl>
          <w:p>
            <w:pPr>
              <w:numPr>
                <w:ilvl w:val="0"/>
                <w:numId w:val="1"/>
              </w:num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主要原辅料</w:t>
            </w:r>
          </w:p>
          <w:p>
            <w:pPr>
              <w:autoSpaceDE w:val="0"/>
              <w:autoSpaceDN w:val="0"/>
              <w:adjustRightInd w:val="0"/>
              <w:snapToGrid w:val="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w:t>
            </w:r>
            <w:r>
              <w:rPr>
                <w:b/>
                <w:bCs/>
                <w:color w:val="000000" w:themeColor="text1"/>
                <w:sz w:val="21"/>
                <w:szCs w:val="21"/>
                <w14:textFill>
                  <w14:solidFill>
                    <w14:schemeClr w14:val="tx1"/>
                  </w14:solidFill>
                </w14:textFill>
              </w:rPr>
              <w:t xml:space="preserve">2-3 </w:t>
            </w:r>
            <w:r>
              <w:rPr>
                <w:rFonts w:hint="eastAsia"/>
                <w:b/>
                <w:bCs/>
                <w:color w:val="000000" w:themeColor="text1"/>
                <w:sz w:val="21"/>
                <w:szCs w:val="21"/>
                <w14:textFill>
                  <w14:solidFill>
                    <w14:schemeClr w14:val="tx1"/>
                  </w14:solidFill>
                </w14:textFill>
              </w:rPr>
              <w:t>主要原辅材料消耗</w:t>
            </w:r>
          </w:p>
          <w:tbl>
            <w:tblPr>
              <w:tblStyle w:val="3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33"/>
              <w:gridCol w:w="2831"/>
              <w:gridCol w:w="1220"/>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233" w:type="dxa"/>
                  <w:vAlign w:val="center"/>
                </w:tcPr>
                <w:p>
                  <w:pPr>
                    <w:spacing w:line="0" w:lineRule="atLeas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2831" w:type="dxa"/>
                  <w:vAlign w:val="center"/>
                </w:tcPr>
                <w:p>
                  <w:pPr>
                    <w:spacing w:line="0" w:lineRule="atLeas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color w:val="000000" w:themeColor="text1"/>
                      <w:szCs w:val="21"/>
                      <w14:textFill>
                        <w14:solidFill>
                          <w14:schemeClr w14:val="tx1"/>
                        </w14:solidFill>
                      </w14:textFill>
                    </w:rPr>
                    <w:t>年用量</w:t>
                  </w:r>
                </w:p>
              </w:tc>
              <w:tc>
                <w:tcPr>
                  <w:tcW w:w="1220" w:type="dxa"/>
                  <w:vAlign w:val="center"/>
                </w:tcPr>
                <w:p>
                  <w:pPr>
                    <w:spacing w:line="0" w:lineRule="atLeas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220" w:type="dxa"/>
                  <w:vAlign w:val="center"/>
                </w:tcPr>
                <w:p>
                  <w:pPr>
                    <w:spacing w:line="0" w:lineRule="atLeas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3233" w:type="dxa"/>
                  <w:vAlign w:val="center"/>
                </w:tcPr>
                <w:p>
                  <w:pPr>
                    <w:spacing w:line="0" w:lineRule="atLeast"/>
                    <w:contextualSpacing/>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生物质</w:t>
                  </w:r>
                  <w:r>
                    <w:rPr>
                      <w:rFonts w:hint="eastAsia"/>
                      <w:color w:val="000000" w:themeColor="text1"/>
                      <w:szCs w:val="21"/>
                      <w14:textFill>
                        <w14:solidFill>
                          <w14:schemeClr w14:val="tx1"/>
                        </w14:solidFill>
                      </w14:textFill>
                    </w:rPr>
                    <w:t>颗粒燃料</w:t>
                  </w:r>
                </w:p>
              </w:tc>
              <w:tc>
                <w:tcPr>
                  <w:tcW w:w="2831" w:type="dxa"/>
                  <w:vAlign w:val="center"/>
                </w:tcPr>
                <w:p>
                  <w:pPr>
                    <w:spacing w:line="0" w:lineRule="atLeast"/>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hAnsi="宋体" w:cs="Times New Roman"/>
                      <w:b w:val="0"/>
                      <w:bCs w:val="0"/>
                      <w:color w:val="000000" w:themeColor="text1"/>
                      <w:kern w:val="2"/>
                      <w:sz w:val="21"/>
                      <w:szCs w:val="21"/>
                      <w:highlight w:val="none"/>
                      <w:lang w:val="en-US" w:eastAsia="zh-CN" w:bidi="ar-SA"/>
                      <w14:textFill>
                        <w14:solidFill>
                          <w14:schemeClr w14:val="tx1"/>
                        </w14:solidFill>
                      </w14:textFill>
                    </w:rPr>
                    <w:t>4743.28</w:t>
                  </w:r>
                </w:p>
              </w:tc>
              <w:tc>
                <w:tcPr>
                  <w:tcW w:w="1220" w:type="dxa"/>
                  <w:vAlign w:val="center"/>
                </w:tcPr>
                <w:p>
                  <w:pPr>
                    <w:spacing w:line="0" w:lineRule="atLeast"/>
                    <w:contextualSpacing/>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t/a</w:t>
                  </w:r>
                </w:p>
              </w:tc>
              <w:tc>
                <w:tcPr>
                  <w:tcW w:w="1220" w:type="dxa"/>
                  <w:vAlign w:val="center"/>
                </w:tcPr>
                <w:p>
                  <w:pPr>
                    <w:spacing w:line="0" w:lineRule="atLeast"/>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3233" w:type="dxa"/>
                  <w:vAlign w:val="center"/>
                </w:tcPr>
                <w:p>
                  <w:pPr>
                    <w:spacing w:line="0" w:lineRule="atLeas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新鲜水</w:t>
                  </w:r>
                </w:p>
              </w:tc>
              <w:tc>
                <w:tcPr>
                  <w:tcW w:w="2831" w:type="dxa"/>
                  <w:vAlign w:val="center"/>
                </w:tcPr>
                <w:p>
                  <w:pPr>
                    <w:spacing w:line="0" w:lineRule="atLeast"/>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1415.4</w:t>
                  </w:r>
                </w:p>
              </w:tc>
              <w:tc>
                <w:tcPr>
                  <w:tcW w:w="1220" w:type="dxa"/>
                  <w:vAlign w:val="center"/>
                </w:tcPr>
                <w:p>
                  <w:pPr>
                    <w:spacing w:line="0" w:lineRule="atLeast"/>
                    <w:contextualSpacing/>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t/a</w:t>
                  </w:r>
                </w:p>
              </w:tc>
              <w:tc>
                <w:tcPr>
                  <w:tcW w:w="1220" w:type="dxa"/>
                  <w:vAlign w:val="center"/>
                </w:tcPr>
                <w:p>
                  <w:pPr>
                    <w:spacing w:line="0" w:lineRule="atLeast"/>
                    <w:contextualSpacing/>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bl>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①</w:t>
            </w:r>
            <w:r>
              <w:rPr>
                <w:rFonts w:hint="eastAsia"/>
                <w:color w:val="000000" w:themeColor="text1"/>
                <w:kern w:val="0"/>
                <w:sz w:val="24"/>
                <w:lang w:val="en-US" w:eastAsia="zh-CN"/>
                <w14:textFill>
                  <w14:solidFill>
                    <w14:schemeClr w14:val="tx1"/>
                  </w14:solidFill>
                </w14:textFill>
              </w:rPr>
              <w:t>本项目</w:t>
            </w:r>
            <w:r>
              <w:rPr>
                <w:color w:val="000000" w:themeColor="text1"/>
                <w:kern w:val="0"/>
                <w:sz w:val="24"/>
                <w14:textFill>
                  <w14:solidFill>
                    <w14:schemeClr w14:val="tx1"/>
                  </w14:solidFill>
                </w14:textFill>
              </w:rPr>
              <w:t>生物质</w:t>
            </w:r>
            <w:r>
              <w:rPr>
                <w:rFonts w:hint="eastAsia"/>
                <w:color w:val="000000" w:themeColor="text1"/>
                <w:kern w:val="0"/>
                <w:sz w:val="24"/>
                <w14:textFill>
                  <w14:solidFill>
                    <w14:schemeClr w14:val="tx1"/>
                  </w14:solidFill>
                </w14:textFill>
              </w:rPr>
              <w:t>原料</w:t>
            </w:r>
            <w:r>
              <w:rPr>
                <w:color w:val="000000" w:themeColor="text1"/>
                <w:kern w:val="0"/>
                <w:sz w:val="24"/>
                <w14:textFill>
                  <w14:solidFill>
                    <w14:schemeClr w14:val="tx1"/>
                  </w14:solidFill>
                </w14:textFill>
              </w:rPr>
              <w:t>消耗量计算：</w:t>
            </w:r>
          </w:p>
          <w:p>
            <w:pPr>
              <w:keepLines w:val="0"/>
              <w:pageBreakBefore w:val="0"/>
              <w:widowControl w:val="0"/>
              <w:kinsoku/>
              <w:wordWrap/>
              <w:topLinePunct w:val="0"/>
              <w:autoSpaceDE/>
              <w:autoSpaceDN/>
              <w:bidi w:val="0"/>
              <w:adjustRightInd w:val="0"/>
              <w:snapToGrid w:val="0"/>
              <w:spacing w:line="360" w:lineRule="auto"/>
              <w:ind w:firstLine="480" w:firstLineChars="200"/>
              <w:textAlignment w:val="auto"/>
              <w:rPr>
                <w:color w:val="000000" w:themeColor="text1"/>
                <w:kern w:val="0"/>
                <w:sz w:val="24"/>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w:t>
            </w:r>
            <w:r>
              <w:rPr>
                <w:rFonts w:hint="eastAsia" w:ascii="Times New Roman" w:hAnsi="Times New Roman" w:cs="Times New Roman"/>
                <w:color w:val="000000" w:themeColor="text1"/>
                <w:sz w:val="24"/>
                <w:szCs w:val="24"/>
                <w14:textFill>
                  <w14:solidFill>
                    <w14:schemeClr w14:val="tx1"/>
                  </w14:solidFill>
                </w14:textFill>
              </w:rPr>
              <w:t>新建1台4.2MW燃生物质热水锅炉和1台2.8MW（备用）燃生物质热水</w:t>
            </w:r>
            <w:r>
              <w:rPr>
                <w:rFonts w:hint="eastAsia" w:ascii="Times New Roman" w:hAnsi="Times New Roman" w:cs="Times New Roman"/>
                <w:color w:val="000000" w:themeColor="text1"/>
                <w:sz w:val="24"/>
                <w:szCs w:val="24"/>
                <w:highlight w:val="none"/>
                <w14:textFill>
                  <w14:solidFill>
                    <w14:schemeClr w14:val="tx1"/>
                  </w14:solidFill>
                </w14:textFill>
              </w:rPr>
              <w:t>锅炉</w:t>
            </w:r>
            <w:r>
              <w:rPr>
                <w:rFonts w:hint="eastAsia"/>
                <w:color w:val="000000" w:themeColor="text1"/>
                <w:sz w:val="24"/>
                <w:highlight w:val="none"/>
                <w14:textFill>
                  <w14:solidFill>
                    <w14:schemeClr w14:val="tx1"/>
                  </w14:solidFill>
                </w14:textFill>
              </w:rPr>
              <w:t>用于</w:t>
            </w:r>
            <w:r>
              <w:rPr>
                <w:rFonts w:hint="eastAsia"/>
                <w:color w:val="000000" w:themeColor="text1"/>
                <w:sz w:val="24"/>
                <w:highlight w:val="none"/>
                <w:lang w:eastAsia="zh-CN"/>
                <w14:textFill>
                  <w14:solidFill>
                    <w14:schemeClr w14:val="tx1"/>
                  </w14:solidFill>
                </w14:textFill>
              </w:rPr>
              <w:t>居民</w:t>
            </w:r>
            <w:r>
              <w:rPr>
                <w:rFonts w:hint="eastAsia"/>
                <w:color w:val="000000" w:themeColor="text1"/>
                <w:sz w:val="24"/>
                <w:highlight w:val="none"/>
                <w14:textFill>
                  <w14:solidFill>
                    <w14:schemeClr w14:val="tx1"/>
                  </w14:solidFill>
                </w14:textFill>
              </w:rPr>
              <w:t>生活供暖</w:t>
            </w:r>
            <w:r>
              <w:rPr>
                <w:color w:val="000000" w:themeColor="text1"/>
                <w:sz w:val="24"/>
                <w:highlight w:val="none"/>
                <w14:textFill>
                  <w14:solidFill>
                    <w14:schemeClr w14:val="tx1"/>
                  </w14:solidFill>
                </w14:textFill>
              </w:rPr>
              <w:t>。</w:t>
            </w:r>
            <w:r>
              <w:rPr>
                <w:rFonts w:hint="eastAsia"/>
                <w:color w:val="000000" w:themeColor="text1"/>
                <w:sz w:val="24"/>
                <w:lang w:val="en-US" w:eastAsia="zh-CN"/>
                <w14:textFill>
                  <w14:solidFill>
                    <w14:schemeClr w14:val="tx1"/>
                  </w14:solidFill>
                </w14:textFill>
              </w:rPr>
              <w:t>供暖期运行天数约</w:t>
            </w:r>
            <w:r>
              <w:rPr>
                <w:rFonts w:hint="eastAsia"/>
                <w:color w:val="auto"/>
                <w:sz w:val="24"/>
                <w:lang w:val="en-US" w:eastAsia="zh-CN"/>
              </w:rPr>
              <w:t>210d，</w:t>
            </w:r>
            <w:r>
              <w:rPr>
                <w:rFonts w:hint="eastAsia" w:ascii="Times New Roman" w:hAnsi="Times New Roman" w:eastAsia="宋体" w:cs="Times New Roman"/>
                <w:color w:val="auto"/>
                <w:sz w:val="24"/>
                <w:szCs w:val="24"/>
                <w:lang w:val="en-US" w:eastAsia="zh-CN"/>
              </w:rPr>
              <w:t>根据建设单位提供资料，生活供暖折算满负荷运行小时数为</w:t>
            </w:r>
            <w:r>
              <w:rPr>
                <w:rFonts w:hint="default" w:ascii="Times New Roman" w:hAnsi="Times New Roman" w:eastAsia="宋体" w:cs="Times New Roman"/>
                <w:color w:val="auto"/>
                <w:sz w:val="24"/>
                <w:szCs w:val="24"/>
              </w:rPr>
              <w:t>每天</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h，</w:t>
            </w:r>
            <w:r>
              <w:rPr>
                <w:rFonts w:hint="eastAsia" w:hAnsi="宋体"/>
                <w:color w:val="000000" w:themeColor="text1"/>
                <w:sz w:val="24"/>
                <w14:textFill>
                  <w14:solidFill>
                    <w14:schemeClr w14:val="tx1"/>
                  </w14:solidFill>
                </w14:textFill>
              </w:rPr>
              <w:t>根据生物质燃料分析报告，生物质燃料低位发热量为14.</w:t>
            </w:r>
            <w:r>
              <w:rPr>
                <w:rFonts w:hint="eastAsia" w:hAnsi="宋体"/>
                <w:color w:val="000000" w:themeColor="text1"/>
                <w:sz w:val="24"/>
                <w:lang w:eastAsia="zh-CN"/>
                <w14:textFill>
                  <w14:solidFill>
                    <w14:schemeClr w14:val="tx1"/>
                  </w14:solidFill>
                </w14:textFill>
              </w:rPr>
              <w:t>132MJ</w:t>
            </w:r>
            <w:r>
              <w:rPr>
                <w:rFonts w:hint="eastAsia" w:hAnsi="宋体"/>
                <w:color w:val="000000" w:themeColor="text1"/>
                <w:sz w:val="24"/>
                <w14:textFill>
                  <w14:solidFill>
                    <w14:schemeClr w14:val="tx1"/>
                  </w14:solidFill>
                </w14:textFill>
              </w:rPr>
              <w:t>/kg，锅炉热效率按90%计算，故生物质燃料量计算如下</w:t>
            </w:r>
            <w:r>
              <w:rPr>
                <w:rFonts w:hint="eastAsia"/>
                <w:color w:val="000000" w:themeColor="text1"/>
                <w:kern w:val="0"/>
                <w:sz w:val="24"/>
                <w14:textFill>
                  <w14:solidFill>
                    <w14:schemeClr w14:val="tx1"/>
                  </w14:solidFill>
                </w14:textFill>
              </w:rPr>
              <w:t>。</w:t>
            </w:r>
          </w:p>
          <w:p>
            <w:pPr>
              <w:pStyle w:val="4"/>
              <w:keepNext/>
              <w:keepLines w:val="0"/>
              <w:pageBreakBefore w:val="0"/>
              <w:widowControl w:val="0"/>
              <w:kinsoku/>
              <w:wordWrap/>
              <w:overflowPunct w:val="0"/>
              <w:topLinePunct w:val="0"/>
              <w:autoSpaceDE/>
              <w:autoSpaceDN/>
              <w:bidi w:val="0"/>
              <w:adjustRightInd/>
              <w:snapToGrid w:val="0"/>
              <w:spacing w:before="0" w:after="0" w:line="360" w:lineRule="auto"/>
              <w:ind w:left="0" w:firstLine="0" w:firstLineChars="0"/>
              <w:jc w:val="left"/>
              <w:textAlignment w:val="auto"/>
              <w:rPr>
                <w:rFonts w:hint="eastAsia" w:hAnsi="宋体" w:eastAsia="宋体"/>
                <w:color w:val="000000" w:themeColor="text1"/>
                <w:position w:val="-54"/>
                <w:sz w:val="24"/>
                <w14:textFill>
                  <w14:solidFill>
                    <w14:schemeClr w14:val="tx1"/>
                  </w14:solidFill>
                </w14:textFill>
              </w:rPr>
            </w:pPr>
            <w:bookmarkStart w:id="12" w:name="_Toc28482"/>
            <w:bookmarkStart w:id="13" w:name="_Toc4242"/>
            <w:bookmarkStart w:id="14" w:name="_Toc13579"/>
            <w:r>
              <w:rPr>
                <w:rFonts w:hint="eastAsia" w:hAnsi="宋体" w:eastAsia="宋体"/>
                <w:color w:val="000000" w:themeColor="text1"/>
                <w:position w:val="-54"/>
                <w:sz w:val="24"/>
                <w14:textFill>
                  <w14:solidFill>
                    <w14:schemeClr w14:val="tx1"/>
                  </w14:solidFill>
                </w14:textFill>
              </w:rPr>
              <w:object>
                <v:shape id="_x0000_i1025" o:spt="75" type="#_x0000_t75" style="height:82.25pt;width:426.75pt;" o:ole="t" filled="f" o:preferrelative="t" stroked="f" coordsize="21600,21600">
                  <v:path/>
                  <v:fill on="f" focussize="0,0"/>
                  <v:stroke on="f"/>
                  <v:imagedata r:id="rId11" o:title=""/>
                  <o:lock v:ext="edit" aspectratio="t"/>
                  <w10:wrap type="none"/>
                  <w10:anchorlock/>
                </v:shape>
                <o:OLEObject Type="Embed" ProgID="Equation.KSEE3" ShapeID="_x0000_i1025" DrawAspect="Content" ObjectID="_1468075725" r:id="rId10">
                  <o:LockedField>false</o:LockedField>
                </o:OLEObject>
              </w:object>
            </w:r>
            <w:bookmarkEnd w:id="12"/>
            <w:bookmarkEnd w:id="13"/>
            <w:bookmarkEnd w:id="14"/>
          </w:p>
          <w:p>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jc w:val="left"/>
              <w:textAlignment w:val="auto"/>
              <w:outlineLvl w:val="9"/>
              <w:rPr>
                <w:rFonts w:hint="default" w:eastAsia="宋体"/>
                <w:color w:val="000000" w:themeColor="text1"/>
                <w:sz w:val="24"/>
                <w:lang w:val="en-US" w:eastAsia="zh-CN"/>
                <w14:textFill>
                  <w14:solidFill>
                    <w14:schemeClr w14:val="tx1"/>
                  </w14:solidFill>
                </w14:textFill>
              </w:rPr>
            </w:pP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故本项目生物质燃料量</w:t>
            </w:r>
            <w:r>
              <w:rPr>
                <w:rFonts w:hint="eastAsia" w:hAnsi="宋体" w:eastAsia="宋体" w:cs="Times New Roman"/>
                <w:b w:val="0"/>
                <w:bCs w:val="0"/>
                <w:color w:val="000000" w:themeColor="text1"/>
                <w:kern w:val="2"/>
                <w:sz w:val="24"/>
                <w:szCs w:val="24"/>
                <w:lang w:val="en-US" w:eastAsia="zh-CN" w:bidi="ar-SA"/>
                <w14:textFill>
                  <w14:solidFill>
                    <w14:schemeClr w14:val="tx1"/>
                  </w14:solidFill>
                </w14:textFill>
              </w:rPr>
              <w:t>约</w:t>
            </w:r>
            <w:r>
              <w:rPr>
                <w:rFonts w:hint="eastAsia" w:hAnsi="宋体" w:cs="Times New Roman"/>
                <w:b w:val="0"/>
                <w:bCs w:val="0"/>
                <w:color w:val="000000" w:themeColor="text1"/>
                <w:kern w:val="2"/>
                <w:sz w:val="24"/>
                <w:szCs w:val="24"/>
                <w:lang w:val="en-US" w:eastAsia="zh-CN" w:bidi="ar-SA"/>
                <w14:textFill>
                  <w14:solidFill>
                    <w14:schemeClr w14:val="tx1"/>
                  </w14:solidFill>
                </w14:textFill>
              </w:rPr>
              <w:t>4743.28</w:t>
            </w:r>
            <w:r>
              <w:rPr>
                <w:rFonts w:hint="eastAsia" w:ascii="Times New Roman" w:hAnsi="宋体" w:eastAsia="宋体" w:cs="Times New Roman"/>
                <w:b w:val="0"/>
                <w:bCs w:val="0"/>
                <w:color w:val="000000" w:themeColor="text1"/>
                <w:kern w:val="2"/>
                <w:sz w:val="24"/>
                <w:szCs w:val="24"/>
                <w:lang w:val="en-US" w:eastAsia="zh-CN" w:bidi="ar-SA"/>
                <w14:textFill>
                  <w14:solidFill>
                    <w14:schemeClr w14:val="tx1"/>
                  </w14:solidFill>
                </w14:textFill>
              </w:rPr>
              <w:t>t/a。</w:t>
            </w:r>
            <w:r>
              <w:rPr>
                <w:rStyle w:val="42"/>
                <w:rFonts w:hint="eastAsia"/>
                <w:color w:val="000000" w:themeColor="text1"/>
                <w:kern w:val="0"/>
                <w:szCs w:val="20"/>
                <w:lang w:val="en-US" w:eastAsia="zh-CN"/>
                <w14:textFill>
                  <w14:solidFill>
                    <w14:schemeClr w14:val="tx1"/>
                  </w14:solidFill>
                </w14:textFill>
              </w:rPr>
              <w:t xml:space="preserve"> </w:t>
            </w:r>
          </w:p>
          <w:p>
            <w:pPr>
              <w:spacing w:line="360" w:lineRule="auto"/>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w:t>
            </w:r>
            <w:r>
              <w:rPr>
                <w:b/>
                <w:bCs/>
                <w:color w:val="000000" w:themeColor="text1"/>
                <w:sz w:val="24"/>
                <w14:textFill>
                  <w14:solidFill>
                    <w14:schemeClr w14:val="tx1"/>
                  </w14:solidFill>
                </w14:textFill>
              </w:rPr>
              <w:t>、公用工程</w:t>
            </w:r>
            <w:bookmarkEnd w:id="10"/>
            <w:bookmarkEnd w:id="11"/>
          </w:p>
          <w:p>
            <w:pPr>
              <w:spacing w:line="360" w:lineRule="auto"/>
              <w:ind w:firstLine="480" w:firstLineChars="200"/>
              <w:rPr>
                <w:color w:val="000000" w:themeColor="text1"/>
                <w:sz w:val="24"/>
                <w14:textFill>
                  <w14:solidFill>
                    <w14:schemeClr w14:val="tx1"/>
                  </w14:solidFill>
                </w14:textFill>
              </w:rPr>
            </w:pPr>
            <w:bookmarkStart w:id="15" w:name="_Toc238180539"/>
            <w:bookmarkStart w:id="16" w:name="_Toc229540077"/>
            <w:bookmarkStart w:id="17" w:name="_Toc235690254"/>
            <w:bookmarkStart w:id="18" w:name="_Toc236798131"/>
            <w:bookmarkStart w:id="19" w:name="_Toc234810806"/>
            <w:r>
              <w:rPr>
                <w:color w:val="000000" w:themeColor="text1"/>
                <w:sz w:val="24"/>
                <w14:textFill>
                  <w14:solidFill>
                    <w14:schemeClr w14:val="tx1"/>
                  </w14:solidFill>
                </w14:textFill>
              </w:rPr>
              <w:t>（1）给排水</w:t>
            </w:r>
          </w:p>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kern w:val="0"/>
                <w:sz w:val="24"/>
                <w:highlight w:val="none"/>
              </w:rPr>
              <w:t>本项目用水由</w:t>
            </w:r>
            <w:r>
              <w:rPr>
                <w:rFonts w:hint="eastAsia"/>
                <w:kern w:val="0"/>
                <w:sz w:val="24"/>
                <w:highlight w:val="none"/>
                <w:lang w:val="en-US" w:eastAsia="zh-CN"/>
              </w:rPr>
              <w:t>供水管网</w:t>
            </w:r>
            <w:r>
              <w:rPr>
                <w:kern w:val="0"/>
                <w:sz w:val="24"/>
                <w:highlight w:val="none"/>
              </w:rPr>
              <w:t>提供。</w:t>
            </w:r>
          </w:p>
          <w:p>
            <w:pPr>
              <w:adjustRightInd w:val="0"/>
              <w:snapToGrid w:val="0"/>
              <w:spacing w:line="360" w:lineRule="auto"/>
              <w:ind w:firstLine="480" w:firstLineChars="200"/>
              <w:rPr>
                <w:rFonts w:hint="eastAsia" w:ascii="Times New Roman" w:hAnsi="Times New Roman" w:cs="Times New Roman"/>
                <w:color w:val="auto"/>
                <w:sz w:val="24"/>
                <w:szCs w:val="24"/>
                <w:highlight w:val="none"/>
                <w:lang w:eastAsia="zh-CN"/>
              </w:rPr>
            </w:pPr>
            <w:r>
              <w:rPr>
                <w:rFonts w:hint="eastAsia"/>
                <w:color w:val="auto"/>
                <w:sz w:val="24"/>
                <w:szCs w:val="24"/>
                <w:highlight w:val="none"/>
              </w:rPr>
              <w:t>本项目劳动定员</w:t>
            </w:r>
            <w:r>
              <w:rPr>
                <w:rFonts w:hint="eastAsia"/>
                <w:color w:val="auto"/>
                <w:sz w:val="24"/>
                <w:szCs w:val="24"/>
                <w:highlight w:val="none"/>
                <w:lang w:val="en-US" w:eastAsia="zh-CN"/>
              </w:rPr>
              <w:t>共3人，</w:t>
            </w:r>
            <w:r>
              <w:rPr>
                <w:rFonts w:hint="default" w:ascii="Times New Roman" w:hAnsi="Times New Roman" w:cs="Times New Roman"/>
                <w:color w:val="auto"/>
                <w:sz w:val="24"/>
                <w:szCs w:val="24"/>
                <w:highlight w:val="none"/>
              </w:rPr>
              <w:t>根据黑龙江地方标准《用水定额》（DB23/727-2021），按</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rPr>
              <w:t>L/人·d计，</w:t>
            </w:r>
            <w:r>
              <w:rPr>
                <w:rFonts w:ascii="Times New Roman" w:hAnsi="Times New Roman"/>
                <w:color w:val="auto"/>
                <w:sz w:val="24"/>
                <w:szCs w:val="24"/>
                <w:highlight w:val="none"/>
              </w:rPr>
              <w:t>工作天数以</w:t>
            </w:r>
            <w:r>
              <w:rPr>
                <w:rFonts w:hint="eastAsia"/>
                <w:color w:val="auto"/>
                <w:sz w:val="24"/>
                <w:szCs w:val="24"/>
                <w:highlight w:val="none"/>
                <w:lang w:val="en-US" w:eastAsia="zh-CN"/>
              </w:rPr>
              <w:t>210</w:t>
            </w:r>
            <w:r>
              <w:rPr>
                <w:rFonts w:ascii="Times New Roman" w:hAnsi="Times New Roman"/>
                <w:color w:val="auto"/>
                <w:sz w:val="24"/>
                <w:szCs w:val="24"/>
                <w:highlight w:val="none"/>
              </w:rPr>
              <w:t>天计，</w:t>
            </w:r>
            <w:r>
              <w:rPr>
                <w:rFonts w:hint="default" w:ascii="Times New Roman" w:hAnsi="Times New Roman" w:cs="Times New Roman"/>
                <w:color w:val="auto"/>
                <w:sz w:val="24"/>
                <w:szCs w:val="24"/>
                <w:highlight w:val="none"/>
                <w:lang w:val="en-US" w:eastAsia="zh-CN"/>
              </w:rPr>
              <w:t>则</w:t>
            </w:r>
            <w:r>
              <w:rPr>
                <w:rFonts w:hint="default" w:ascii="Times New Roman" w:hAnsi="Times New Roman" w:cs="Times New Roman"/>
                <w:color w:val="auto"/>
                <w:sz w:val="24"/>
                <w:szCs w:val="24"/>
                <w:highlight w:val="none"/>
              </w:rPr>
              <w:t>生活用水</w:t>
            </w:r>
            <w:r>
              <w:rPr>
                <w:rFonts w:hint="eastAsia" w:ascii="Times New Roman" w:hAnsi="Times New Roman" w:cs="Times New Roman"/>
                <w:color w:val="auto"/>
                <w:sz w:val="24"/>
                <w:szCs w:val="24"/>
                <w:highlight w:val="none"/>
                <w:lang w:val="en-US" w:eastAsia="zh-CN"/>
              </w:rPr>
              <w:t>总</w:t>
            </w:r>
            <w:r>
              <w:rPr>
                <w:rFonts w:hint="default" w:ascii="Times New Roman" w:hAnsi="Times New Roman" w:cs="Times New Roman"/>
                <w:color w:val="auto"/>
                <w:sz w:val="24"/>
                <w:szCs w:val="24"/>
                <w:highlight w:val="none"/>
              </w:rPr>
              <w:t>量为</w:t>
            </w:r>
            <w:r>
              <w:rPr>
                <w:rFonts w:hint="eastAsia" w:cs="Times New Roman"/>
                <w:color w:val="auto"/>
                <w:sz w:val="24"/>
                <w:szCs w:val="24"/>
                <w:highlight w:val="none"/>
                <w:lang w:val="en-US" w:eastAsia="zh-CN"/>
              </w:rPr>
              <w:t>0.24</w:t>
            </w:r>
            <w:r>
              <w:rPr>
                <w:rFonts w:hint="eastAsia" w:ascii="Times New Roman" w:hAnsi="Times New Roman" w:cs="Times New Roman"/>
                <w:color w:val="auto"/>
                <w:sz w:val="24"/>
                <w:szCs w:val="24"/>
                <w:highlight w:val="none"/>
                <w:lang w:eastAsia="zh-CN"/>
              </w:rPr>
              <w:t>t</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50.4</w:t>
            </w:r>
            <w:r>
              <w:rPr>
                <w:rFonts w:hint="eastAsia" w:ascii="Times New Roman" w:hAnsi="Times New Roman" w:cs="Times New Roman"/>
                <w:color w:val="auto"/>
                <w:sz w:val="24"/>
                <w:szCs w:val="24"/>
                <w:highlight w:val="none"/>
                <w:lang w:eastAsia="zh-CN"/>
              </w:rPr>
              <w:t>t</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排水系数按用水量的80%计算，</w:t>
            </w:r>
            <w:r>
              <w:rPr>
                <w:rFonts w:hint="eastAsia"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lang w:val="en-US" w:eastAsia="zh-CN"/>
              </w:rPr>
              <w:t>生活污水产生量为</w:t>
            </w:r>
            <w:r>
              <w:rPr>
                <w:rFonts w:hint="eastAsia" w:cs="Times New Roman"/>
                <w:color w:val="auto"/>
                <w:sz w:val="24"/>
                <w:szCs w:val="24"/>
                <w:highlight w:val="none"/>
                <w:lang w:val="en-US" w:eastAsia="zh-CN"/>
              </w:rPr>
              <w:t>0.192</w:t>
            </w:r>
            <w:r>
              <w:rPr>
                <w:rFonts w:hint="eastAsia" w:ascii="Times New Roman" w:hAnsi="Times New Roman" w:cs="Times New Roman"/>
                <w:color w:val="auto"/>
                <w:sz w:val="24"/>
                <w:szCs w:val="24"/>
                <w:highlight w:val="none"/>
                <w:lang w:eastAsia="zh-CN"/>
              </w:rPr>
              <w:t>t</w:t>
            </w:r>
            <w:r>
              <w:rPr>
                <w:rFonts w:hint="default" w:ascii="Times New Roman" w:hAnsi="Times New Roman"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40.32</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，生活污水</w:t>
            </w:r>
            <w:r>
              <w:rPr>
                <w:rFonts w:hint="eastAsia"/>
                <w:color w:val="000000" w:themeColor="text1"/>
                <w:sz w:val="24"/>
                <w14:textFill>
                  <w14:solidFill>
                    <w14:schemeClr w14:val="tx1"/>
                  </w14:solidFill>
                </w14:textFill>
              </w:rPr>
              <w:t>通过市政管网排放至向阳乡雪水温村污水处理站。</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排放源统计调查产排污核算方法和系数手册》中“4430工业锅炉（热力供应）行业系数手册”中产污系数</w:t>
            </w:r>
            <w:r>
              <w:rPr>
                <w:color w:val="000000" w:themeColor="text1"/>
                <w:sz w:val="24"/>
                <w14:textFill>
                  <w14:solidFill>
                    <w14:schemeClr w14:val="tx1"/>
                  </w14:solidFill>
                </w14:textFill>
              </w:rPr>
              <w:t>，燃生物质锅炉（锅</w:t>
            </w:r>
            <w:r>
              <w:rPr>
                <w:rFonts w:hint="eastAsia"/>
                <w:color w:val="000000" w:themeColor="text1"/>
                <w:sz w:val="24"/>
                <w14:textFill>
                  <w14:solidFill>
                    <w14:schemeClr w14:val="tx1"/>
                  </w14:solidFill>
                </w14:textFill>
              </w:rPr>
              <w:t>内</w:t>
            </w:r>
            <w:r>
              <w:rPr>
                <w:color w:val="000000" w:themeColor="text1"/>
                <w:sz w:val="24"/>
                <w14:textFill>
                  <w14:solidFill>
                    <w14:schemeClr w14:val="tx1"/>
                  </w14:solidFill>
                </w14:textFill>
              </w:rPr>
              <w:t>水处理）</w:t>
            </w:r>
            <w:r>
              <w:rPr>
                <w:rFonts w:hint="eastAsia"/>
                <w:color w:val="000000" w:themeColor="text1"/>
                <w:sz w:val="24"/>
                <w14:textFill>
                  <w14:solidFill>
                    <w14:schemeClr w14:val="tx1"/>
                  </w14:solidFill>
                </w14:textFill>
              </w:rPr>
              <w:t>废水产生系数为</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259</w:t>
            </w:r>
            <w:r>
              <w:rPr>
                <w:color w:val="000000" w:themeColor="text1"/>
                <w:sz w:val="24"/>
                <w14:textFill>
                  <w14:solidFill>
                    <w14:schemeClr w14:val="tx1"/>
                  </w14:solidFill>
                </w14:textFill>
              </w:rPr>
              <w:t>吨/吨-原料，本项目生物质成型燃料使用量为</w:t>
            </w:r>
            <w:r>
              <w:rPr>
                <w:rFonts w:hint="eastAsia" w:hAnsi="宋体" w:cs="Times New Roman"/>
                <w:b w:val="0"/>
                <w:bCs w:val="0"/>
                <w:color w:val="000000" w:themeColor="text1"/>
                <w:kern w:val="2"/>
                <w:sz w:val="24"/>
                <w:szCs w:val="24"/>
                <w:lang w:val="en-US" w:eastAsia="zh-CN" w:bidi="ar-SA"/>
                <w14:textFill>
                  <w14:solidFill>
                    <w14:schemeClr w14:val="tx1"/>
                  </w14:solidFill>
                </w14:textFill>
              </w:rPr>
              <w:t>4743.2</w:t>
            </w:r>
            <w:r>
              <w:rPr>
                <w:rFonts w:hint="eastAsia" w:hAnsi="宋体" w:cs="Times New Roman"/>
                <w:b w:val="0"/>
                <w:bCs w:val="0"/>
                <w:color w:val="000000" w:themeColor="text1"/>
                <w:kern w:val="2"/>
                <w:sz w:val="24"/>
                <w:szCs w:val="24"/>
                <w:highlight w:val="none"/>
                <w:lang w:val="en-US" w:eastAsia="zh-CN" w:bidi="ar-SA"/>
                <w14:textFill>
                  <w14:solidFill>
                    <w14:schemeClr w14:val="tx1"/>
                  </w14:solidFill>
                </w14:textFill>
              </w:rPr>
              <w:t>8</w:t>
            </w:r>
            <w:r>
              <w:rPr>
                <w:color w:val="000000" w:themeColor="text1"/>
                <w:sz w:val="24"/>
                <w:highlight w:val="none"/>
                <w14:textFill>
                  <w14:solidFill>
                    <w14:schemeClr w14:val="tx1"/>
                  </w14:solidFill>
                </w14:textFill>
              </w:rPr>
              <w:t>t/a，则锅炉排污水总的产生量为</w:t>
            </w:r>
            <w:r>
              <w:rPr>
                <w:rFonts w:hint="eastAsia"/>
                <w:color w:val="000000" w:themeColor="text1"/>
                <w:sz w:val="24"/>
                <w:highlight w:val="none"/>
                <w:lang w:val="en-US" w:eastAsia="zh-CN"/>
                <w14:textFill>
                  <w14:solidFill>
                    <w14:schemeClr w14:val="tx1"/>
                  </w14:solidFill>
                </w14:textFill>
              </w:rPr>
              <w:t>5.85</w:t>
            </w:r>
            <w:r>
              <w:rPr>
                <w:rFonts w:hint="eastAsia"/>
                <w:color w:val="000000" w:themeColor="text1"/>
                <w:sz w:val="24"/>
                <w:highlight w:val="none"/>
                <w14:textFill>
                  <w14:solidFill>
                    <w14:schemeClr w14:val="tx1"/>
                  </w14:solidFill>
                </w14:textFill>
              </w:rPr>
              <w:t>t/d，</w:t>
            </w:r>
            <w:r>
              <w:rPr>
                <w:rFonts w:hint="eastAsia"/>
                <w:color w:val="000000" w:themeColor="text1"/>
                <w:kern w:val="0"/>
                <w:sz w:val="24"/>
                <w:highlight w:val="none"/>
                <w:lang w:val="en-US" w:eastAsia="zh-CN"/>
                <w14:textFill>
                  <w14:solidFill>
                    <w14:schemeClr w14:val="tx1"/>
                  </w14:solidFill>
                </w14:textFill>
              </w:rPr>
              <w:t>1228.51</w:t>
            </w:r>
            <w:r>
              <w:rPr>
                <w:color w:val="000000" w:themeColor="text1"/>
                <w:sz w:val="24"/>
                <w:highlight w:val="none"/>
                <w14:textFill>
                  <w14:solidFill>
                    <w14:schemeClr w14:val="tx1"/>
                  </w14:solidFill>
                </w14:textFill>
              </w:rPr>
              <w:t>t/a。</w:t>
            </w:r>
            <w:r>
              <w:rPr>
                <w:color w:val="000000" w:themeColor="text1"/>
                <w:kern w:val="0"/>
                <w:sz w:val="24"/>
                <w:highlight w:val="none"/>
                <w14:textFill>
                  <w14:solidFill>
                    <w14:schemeClr w14:val="tx1"/>
                  </w14:solidFill>
                </w14:textFill>
              </w:rPr>
              <w:t>排放量按用水量</w:t>
            </w:r>
            <w:r>
              <w:rPr>
                <w:rFonts w:hint="eastAsia"/>
                <w:color w:val="000000" w:themeColor="text1"/>
                <w:kern w:val="0"/>
                <w:sz w:val="24"/>
                <w:highlight w:val="none"/>
                <w14:textFill>
                  <w14:solidFill>
                    <w14:schemeClr w14:val="tx1"/>
                  </w14:solidFill>
                </w14:textFill>
              </w:rPr>
              <w:t>的90</w:t>
            </w:r>
            <w:r>
              <w:rPr>
                <w:color w:val="000000" w:themeColor="text1"/>
                <w:kern w:val="0"/>
                <w:sz w:val="24"/>
                <w:highlight w:val="none"/>
                <w14:textFill>
                  <w14:solidFill>
                    <w14:schemeClr w14:val="tx1"/>
                  </w14:solidFill>
                </w14:textFill>
              </w:rPr>
              <w:t>%计，则锅炉用水量为</w:t>
            </w:r>
            <w:r>
              <w:rPr>
                <w:rFonts w:hint="eastAsia"/>
                <w:color w:val="000000" w:themeColor="text1"/>
                <w:kern w:val="0"/>
                <w:sz w:val="24"/>
                <w:highlight w:val="none"/>
                <w:lang w:val="en-US" w:eastAsia="zh-CN"/>
                <w14:textFill>
                  <w14:solidFill>
                    <w14:schemeClr w14:val="tx1"/>
                  </w14:solidFill>
                </w14:textFill>
              </w:rPr>
              <w:t>6.5</w:t>
            </w:r>
            <w:r>
              <w:rPr>
                <w:color w:val="000000" w:themeColor="text1"/>
                <w:kern w:val="0"/>
                <w:sz w:val="24"/>
                <w:highlight w:val="none"/>
                <w14:textFill>
                  <w14:solidFill>
                    <w14:schemeClr w14:val="tx1"/>
                  </w14:solidFill>
                </w14:textFill>
              </w:rPr>
              <w:t>t/d，</w:t>
            </w:r>
            <w:r>
              <w:rPr>
                <w:rFonts w:hint="eastAsia"/>
                <w:color w:val="000000" w:themeColor="text1"/>
                <w:kern w:val="0"/>
                <w:sz w:val="24"/>
                <w:highlight w:val="none"/>
                <w:lang w:val="en-US" w:eastAsia="zh-CN"/>
                <w14:textFill>
                  <w14:solidFill>
                    <w14:schemeClr w14:val="tx1"/>
                  </w14:solidFill>
                </w14:textFill>
              </w:rPr>
              <w:t>1365</w:t>
            </w:r>
            <w:r>
              <w:rPr>
                <w:color w:val="000000" w:themeColor="text1"/>
                <w:kern w:val="0"/>
                <w:sz w:val="24"/>
                <w:highlight w:val="none"/>
                <w14:textFill>
                  <w14:solidFill>
                    <w14:schemeClr w14:val="tx1"/>
                  </w14:solidFill>
                </w14:textFill>
              </w:rPr>
              <w:t>t/a。</w:t>
            </w:r>
            <w:r>
              <w:rPr>
                <w:rFonts w:hint="eastAsia"/>
                <w:color w:val="000000" w:themeColor="text1"/>
                <w:sz w:val="24"/>
                <w14:textFill>
                  <w14:solidFill>
                    <w14:schemeClr w14:val="tx1"/>
                  </w14:solidFill>
                </w14:textFill>
              </w:rPr>
              <w:t>锅炉废水通过市政管网排放至向阳乡雪水温村污水处理站。</w:t>
            </w:r>
          </w:p>
          <w:p>
            <w:pPr>
              <w:spacing w:line="360" w:lineRule="auto"/>
              <w:ind w:firstLine="420" w:firstLineChars="200"/>
              <w:rPr>
                <w:color w:val="000000" w:themeColor="text1"/>
                <w:sz w:val="24"/>
                <w14:textFill>
                  <w14:solidFill>
                    <w14:schemeClr w14:val="tx1"/>
                  </w14:solidFill>
                </w14:textFill>
              </w:rPr>
            </w:pPr>
            <w:r>
              <w:drawing>
                <wp:inline distT="0" distB="0" distL="114300" distR="114300">
                  <wp:extent cx="4947920" cy="1633855"/>
                  <wp:effectExtent l="0" t="0" r="508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rcRect t="6333"/>
                          <a:stretch>
                            <a:fillRect/>
                          </a:stretch>
                        </pic:blipFill>
                        <pic:spPr>
                          <a:xfrm>
                            <a:off x="0" y="0"/>
                            <a:ext cx="4947920" cy="1633855"/>
                          </a:xfrm>
                          <a:prstGeom prst="rect">
                            <a:avLst/>
                          </a:prstGeom>
                          <a:noFill/>
                          <a:ln>
                            <a:noFill/>
                          </a:ln>
                        </pic:spPr>
                      </pic:pic>
                    </a:graphicData>
                  </a:graphic>
                </wp:inline>
              </w:drawing>
            </w:r>
          </w:p>
          <w:p>
            <w:pPr>
              <w:spacing w:line="36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图2-1  水平衡图（t/d）</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（2）供电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供电由</w:t>
            </w:r>
            <w:r>
              <w:rPr>
                <w:rFonts w:hint="eastAsia"/>
                <w:color w:val="000000" w:themeColor="text1"/>
                <w:sz w:val="24"/>
                <w14:textFill>
                  <w14:solidFill>
                    <w14:schemeClr w14:val="tx1"/>
                  </w14:solidFill>
                </w14:textFill>
              </w:rPr>
              <w:t>当地电业局提供</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（3）供热</w:t>
            </w:r>
          </w:p>
          <w:bookmarkEnd w:id="15"/>
          <w:bookmarkEnd w:id="16"/>
          <w:bookmarkEnd w:id="17"/>
          <w:bookmarkEnd w:id="18"/>
          <w:bookmarkEnd w:id="19"/>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供热</w:t>
            </w:r>
            <w:r>
              <w:rPr>
                <w:rFonts w:hint="eastAsia"/>
                <w:color w:val="000000" w:themeColor="text1"/>
                <w:sz w:val="24"/>
                <w14:textFill>
                  <w14:solidFill>
                    <w14:schemeClr w14:val="tx1"/>
                  </w14:solidFill>
                </w14:textFill>
              </w:rPr>
              <w:t>由新建锅炉提供</w:t>
            </w:r>
            <w:r>
              <w:rPr>
                <w:color w:val="000000" w:themeColor="text1"/>
                <w:sz w:val="24"/>
                <w14:textFill>
                  <w14:solidFill>
                    <w14:schemeClr w14:val="tx1"/>
                  </w14:solidFill>
                </w14:textFill>
              </w:rPr>
              <w:t>。</w:t>
            </w:r>
          </w:p>
          <w:p>
            <w:pPr>
              <w:spacing w:line="360" w:lineRule="auto"/>
              <w:rPr>
                <w:b/>
                <w:bCs/>
                <w:color w:val="000000" w:themeColor="text1"/>
                <w:sz w:val="24"/>
                <w14:textFill>
                  <w14:solidFill>
                    <w14:schemeClr w14:val="tx1"/>
                  </w14:solidFill>
                </w14:textFill>
              </w:rPr>
            </w:pPr>
            <w:bookmarkStart w:id="20" w:name="_Toc23999"/>
            <w:bookmarkStart w:id="21" w:name="_Toc38800592"/>
            <w:r>
              <w:rPr>
                <w:rFonts w:hint="eastAsia"/>
                <w:b/>
                <w:bCs/>
                <w:color w:val="000000" w:themeColor="text1"/>
                <w:sz w:val="24"/>
                <w14:textFill>
                  <w14:solidFill>
                    <w14:schemeClr w14:val="tx1"/>
                  </w14:solidFill>
                </w14:textFill>
              </w:rPr>
              <w:t>5</w:t>
            </w:r>
            <w:r>
              <w:rPr>
                <w:b/>
                <w:bCs/>
                <w:color w:val="000000" w:themeColor="text1"/>
                <w:sz w:val="24"/>
                <w14:textFill>
                  <w14:solidFill>
                    <w14:schemeClr w14:val="tx1"/>
                  </w14:solidFill>
                </w14:textFill>
              </w:rPr>
              <w:t>、劳动定员及工作制度</w:t>
            </w:r>
            <w:bookmarkEnd w:id="20"/>
            <w:bookmarkEnd w:id="21"/>
          </w:p>
          <w:p>
            <w:pPr>
              <w:adjustRightInd w:val="0"/>
              <w:snapToGrid w:val="0"/>
              <w:spacing w:line="360" w:lineRule="auto"/>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劳动定员3人，</w:t>
            </w:r>
            <w:r>
              <w:rPr>
                <w:rFonts w:hint="eastAsia"/>
                <w:color w:val="000000" w:themeColor="text1"/>
                <w:sz w:val="24"/>
                <w14:textFill>
                  <w14:solidFill>
                    <w14:schemeClr w14:val="tx1"/>
                  </w14:solidFill>
                </w14:textFill>
              </w:rPr>
              <w:t>锅炉每天运行</w:t>
            </w:r>
            <w:r>
              <w:rPr>
                <w:rFonts w:hint="eastAsia"/>
                <w:color w:val="000000" w:themeColor="text1"/>
                <w:sz w:val="24"/>
                <w:lang w:val="en-US" w:eastAsia="zh-CN"/>
                <w14:textFill>
                  <w14:solidFill>
                    <w14:schemeClr w14:val="tx1"/>
                  </w14:solidFill>
                </w14:textFill>
              </w:rPr>
              <w:t>19</w:t>
            </w:r>
            <w:r>
              <w:rPr>
                <w:rFonts w:hint="eastAsia"/>
                <w:color w:val="000000" w:themeColor="text1"/>
                <w:sz w:val="24"/>
                <w14:textFill>
                  <w14:solidFill>
                    <w14:schemeClr w14:val="tx1"/>
                  </w14:solidFill>
                </w14:textFill>
              </w:rPr>
              <w:t>小时，年运行</w:t>
            </w:r>
            <w:r>
              <w:rPr>
                <w:rFonts w:hint="eastAsia"/>
                <w:color w:val="000000" w:themeColor="text1"/>
                <w:sz w:val="24"/>
                <w:lang w:val="en-US" w:eastAsia="zh-CN"/>
                <w14:textFill>
                  <w14:solidFill>
                    <w14:schemeClr w14:val="tx1"/>
                  </w14:solidFill>
                </w14:textFill>
              </w:rPr>
              <w:t>210</w:t>
            </w:r>
            <w:r>
              <w:rPr>
                <w:rFonts w:hint="eastAsia"/>
                <w:color w:val="000000" w:themeColor="text1"/>
                <w:sz w:val="24"/>
                <w14:textFill>
                  <w14:solidFill>
                    <w14:schemeClr w14:val="tx1"/>
                  </w14:solidFill>
                </w14:textFill>
              </w:rPr>
              <w:t>天。</w:t>
            </w:r>
          </w:p>
          <w:p>
            <w:pPr>
              <w:widowControl/>
              <w:spacing w:line="360" w:lineRule="auto"/>
              <w:rPr>
                <w:b/>
                <w:bCs/>
                <w:kern w:val="0"/>
                <w:sz w:val="24"/>
                <w:highlight w:val="none"/>
              </w:rPr>
            </w:pPr>
            <w:r>
              <w:rPr>
                <w:rFonts w:hint="eastAsia"/>
                <w:b/>
                <w:bCs/>
                <w:kern w:val="0"/>
                <w:sz w:val="24"/>
                <w:highlight w:val="none"/>
                <w:lang w:val="en-US" w:eastAsia="zh-CN"/>
              </w:rPr>
              <w:t>6</w:t>
            </w:r>
            <w:r>
              <w:rPr>
                <w:b/>
                <w:bCs/>
                <w:kern w:val="0"/>
                <w:sz w:val="24"/>
                <w:highlight w:val="none"/>
              </w:rPr>
              <w:t>、环保投资</w:t>
            </w:r>
          </w:p>
          <w:p>
            <w:pPr>
              <w:spacing w:line="360" w:lineRule="auto"/>
              <w:ind w:firstLine="480" w:firstLineChars="200"/>
              <w:rPr>
                <w:b/>
                <w:sz w:val="24"/>
                <w:highlight w:val="none"/>
              </w:rPr>
            </w:pPr>
            <w:r>
              <w:rPr>
                <w:sz w:val="24"/>
                <w:highlight w:val="none"/>
              </w:rPr>
              <w:t>本项目总投资</w:t>
            </w:r>
            <w:r>
              <w:rPr>
                <w:rFonts w:hint="eastAsia"/>
                <w:sz w:val="24"/>
                <w:highlight w:val="none"/>
                <w:lang w:val="en-US" w:eastAsia="zh-CN"/>
              </w:rPr>
              <w:t>56.7</w:t>
            </w:r>
            <w:r>
              <w:rPr>
                <w:sz w:val="24"/>
                <w:highlight w:val="none"/>
              </w:rPr>
              <w:t>万元，环保投资</w:t>
            </w:r>
            <w:r>
              <w:rPr>
                <w:rFonts w:hint="eastAsia"/>
                <w:sz w:val="24"/>
                <w:highlight w:val="none"/>
                <w:lang w:val="en-US" w:eastAsia="zh-CN"/>
              </w:rPr>
              <w:t>13.5</w:t>
            </w:r>
            <w:r>
              <w:rPr>
                <w:sz w:val="24"/>
                <w:highlight w:val="none"/>
              </w:rPr>
              <w:t>万元，环保总投资占项目总投资的</w:t>
            </w:r>
            <w:r>
              <w:rPr>
                <w:rFonts w:hint="eastAsia"/>
                <w:sz w:val="24"/>
                <w:highlight w:val="none"/>
                <w:lang w:val="en-US" w:eastAsia="zh-CN"/>
              </w:rPr>
              <w:t>23.81</w:t>
            </w:r>
            <w:r>
              <w:rPr>
                <w:sz w:val="24"/>
                <w:highlight w:val="none"/>
              </w:rPr>
              <w:t>%。环保投资详见表2-</w:t>
            </w:r>
            <w:r>
              <w:rPr>
                <w:rFonts w:hint="eastAsia"/>
                <w:sz w:val="24"/>
                <w:highlight w:val="none"/>
                <w:lang w:val="en-US" w:eastAsia="zh-CN"/>
              </w:rPr>
              <w:t>4</w:t>
            </w:r>
            <w:r>
              <w:rPr>
                <w:sz w:val="24"/>
                <w:highlight w:val="none"/>
              </w:rPr>
              <w:t>。</w:t>
            </w:r>
          </w:p>
          <w:p>
            <w:pPr>
              <w:jc w:val="center"/>
              <w:rPr>
                <w:b/>
                <w:szCs w:val="21"/>
                <w:highlight w:val="none"/>
              </w:rPr>
            </w:pPr>
            <w:r>
              <w:rPr>
                <w:b/>
                <w:szCs w:val="21"/>
                <w:highlight w:val="none"/>
              </w:rPr>
              <w:t>表2-</w:t>
            </w:r>
            <w:r>
              <w:rPr>
                <w:rFonts w:hint="eastAsia"/>
                <w:b/>
                <w:szCs w:val="21"/>
                <w:highlight w:val="none"/>
                <w:lang w:val="en-US" w:eastAsia="zh-CN"/>
              </w:rPr>
              <w:t xml:space="preserve">4 </w:t>
            </w:r>
            <w:r>
              <w:rPr>
                <w:b/>
                <w:szCs w:val="21"/>
                <w:highlight w:val="none"/>
              </w:rPr>
              <w:t xml:space="preserve"> 环保投资一览表</w:t>
            </w:r>
          </w:p>
          <w:tbl>
            <w:tblPr>
              <w:tblStyle w:val="36"/>
              <w:tblW w:w="829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5140"/>
              <w:gridCol w:w="13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9" w:type="dxa"/>
                  <w:noWrap w:val="0"/>
                  <w:vAlign w:val="center"/>
                </w:tcPr>
                <w:p>
                  <w:pPr>
                    <w:jc w:val="center"/>
                    <w:rPr>
                      <w:color w:val="auto"/>
                      <w:sz w:val="21"/>
                      <w:szCs w:val="21"/>
                      <w:highlight w:val="none"/>
                    </w:rPr>
                  </w:pPr>
                  <w:r>
                    <w:rPr>
                      <w:color w:val="auto"/>
                      <w:sz w:val="21"/>
                      <w:szCs w:val="21"/>
                      <w:highlight w:val="none"/>
                    </w:rPr>
                    <w:t>类别</w:t>
                  </w:r>
                </w:p>
              </w:tc>
              <w:tc>
                <w:tcPr>
                  <w:tcW w:w="5140" w:type="dxa"/>
                  <w:tcBorders>
                    <w:bottom w:val="single" w:color="auto" w:sz="4" w:space="0"/>
                  </w:tcBorders>
                  <w:noWrap w:val="0"/>
                  <w:vAlign w:val="center"/>
                </w:tcPr>
                <w:p>
                  <w:pPr>
                    <w:jc w:val="center"/>
                    <w:rPr>
                      <w:color w:val="auto"/>
                      <w:sz w:val="21"/>
                      <w:szCs w:val="21"/>
                      <w:highlight w:val="none"/>
                    </w:rPr>
                  </w:pPr>
                  <w:r>
                    <w:rPr>
                      <w:color w:val="auto"/>
                      <w:sz w:val="21"/>
                      <w:szCs w:val="21"/>
                      <w:highlight w:val="none"/>
                    </w:rPr>
                    <w:t>防治措施</w:t>
                  </w:r>
                </w:p>
              </w:tc>
              <w:tc>
                <w:tcPr>
                  <w:tcW w:w="1379" w:type="dxa"/>
                  <w:tcBorders>
                    <w:bottom w:val="single" w:color="auto" w:sz="4" w:space="0"/>
                  </w:tcBorders>
                  <w:noWrap w:val="0"/>
                  <w:vAlign w:val="center"/>
                </w:tcPr>
                <w:p>
                  <w:pPr>
                    <w:jc w:val="center"/>
                    <w:rPr>
                      <w:color w:val="auto"/>
                      <w:sz w:val="21"/>
                      <w:szCs w:val="21"/>
                      <w:highlight w:val="none"/>
                    </w:rPr>
                  </w:pPr>
                  <w:r>
                    <w:rPr>
                      <w:color w:val="auto"/>
                      <w:sz w:val="21"/>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779" w:type="dxa"/>
                  <w:noWrap w:val="0"/>
                  <w:vAlign w:val="center"/>
                </w:tcPr>
                <w:p>
                  <w:pPr>
                    <w:jc w:val="center"/>
                    <w:rPr>
                      <w:color w:val="auto"/>
                      <w:sz w:val="21"/>
                      <w:szCs w:val="21"/>
                      <w:highlight w:val="none"/>
                    </w:rPr>
                  </w:pPr>
                  <w:r>
                    <w:rPr>
                      <w:color w:val="auto"/>
                      <w:sz w:val="21"/>
                      <w:szCs w:val="21"/>
                      <w:highlight w:val="none"/>
                    </w:rPr>
                    <w:t>废气治理措施</w:t>
                  </w:r>
                </w:p>
              </w:tc>
              <w:tc>
                <w:tcPr>
                  <w:tcW w:w="5140" w:type="dxa"/>
                  <w:noWrap w:val="0"/>
                  <w:vAlign w:val="center"/>
                </w:tcPr>
                <w:p>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2套低氮燃烧技术、2套旋风除尘器、2套布袋除尘器、1根40m高</w:t>
                  </w:r>
                  <w:r>
                    <w:rPr>
                      <w:rFonts w:hint="eastAsia" w:cs="Times New Roman"/>
                      <w:color w:val="auto"/>
                      <w:kern w:val="2"/>
                      <w:sz w:val="21"/>
                      <w:szCs w:val="21"/>
                      <w:highlight w:val="none"/>
                      <w:lang w:val="en-US" w:eastAsia="zh-CN" w:bidi="ar-SA"/>
                    </w:rPr>
                    <w:t>烟囱</w:t>
                  </w:r>
                  <w:r>
                    <w:rPr>
                      <w:rFonts w:hint="eastAsia" w:ascii="Times New Roman" w:hAnsi="Times New Roman" w:eastAsia="宋体" w:cs="Times New Roman"/>
                      <w:color w:val="auto"/>
                      <w:kern w:val="2"/>
                      <w:sz w:val="21"/>
                      <w:szCs w:val="21"/>
                      <w:highlight w:val="none"/>
                      <w:lang w:val="en-US" w:eastAsia="zh-CN" w:bidi="ar-SA"/>
                    </w:rPr>
                    <w:t>（DA001）</w:t>
                  </w:r>
                </w:p>
              </w:tc>
              <w:tc>
                <w:tcPr>
                  <w:tcW w:w="1379" w:type="dxa"/>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779" w:type="dxa"/>
                  <w:noWrap w:val="0"/>
                  <w:vAlign w:val="center"/>
                </w:tcPr>
                <w:p>
                  <w:pPr>
                    <w:jc w:val="center"/>
                    <w:rPr>
                      <w:color w:val="auto"/>
                      <w:sz w:val="21"/>
                      <w:szCs w:val="21"/>
                      <w:highlight w:val="none"/>
                    </w:rPr>
                  </w:pPr>
                  <w:r>
                    <w:rPr>
                      <w:color w:val="auto"/>
                      <w:sz w:val="21"/>
                      <w:szCs w:val="21"/>
                      <w:highlight w:val="none"/>
                    </w:rPr>
                    <w:t>噪声治理措施</w:t>
                  </w:r>
                </w:p>
              </w:tc>
              <w:tc>
                <w:tcPr>
                  <w:tcW w:w="5140" w:type="dxa"/>
                  <w:noWrap w:val="0"/>
                  <w:vAlign w:val="center"/>
                </w:tcPr>
                <w:p>
                  <w:pPr>
                    <w:jc w:val="center"/>
                    <w:rPr>
                      <w:color w:val="auto"/>
                      <w:sz w:val="21"/>
                      <w:szCs w:val="21"/>
                      <w:highlight w:val="none"/>
                    </w:rPr>
                  </w:pPr>
                  <w:r>
                    <w:rPr>
                      <w:color w:val="auto"/>
                      <w:sz w:val="21"/>
                      <w:szCs w:val="21"/>
                      <w:highlight w:val="none"/>
                    </w:rPr>
                    <w:t>选取低噪声设备，采取减振、隔声等措施</w:t>
                  </w:r>
                </w:p>
              </w:tc>
              <w:tc>
                <w:tcPr>
                  <w:tcW w:w="1379" w:type="dxa"/>
                  <w:noWrap w:val="0"/>
                  <w:vAlign w:val="center"/>
                </w:tcPr>
                <w:p>
                  <w:pPr>
                    <w:jc w:val="center"/>
                    <w:rPr>
                      <w:rFonts w:hint="eastAsia" w:eastAsia="宋体"/>
                      <w:color w:val="auto"/>
                      <w:sz w:val="21"/>
                      <w:szCs w:val="21"/>
                      <w:highlight w:val="none"/>
                      <w:lang w:eastAsia="zh-CN"/>
                    </w:rPr>
                  </w:pPr>
                  <w:r>
                    <w:rPr>
                      <w:rFonts w:hint="eastAsia"/>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779" w:type="dxa"/>
                  <w:noWrap w:val="0"/>
                  <w:vAlign w:val="center"/>
                </w:tcPr>
                <w:p>
                  <w:pPr>
                    <w:jc w:val="center"/>
                    <w:rPr>
                      <w:rFonts w:hint="eastAsia" w:eastAsia="宋体"/>
                      <w:color w:val="auto"/>
                      <w:sz w:val="21"/>
                      <w:szCs w:val="21"/>
                      <w:highlight w:val="none"/>
                      <w:lang w:eastAsia="zh-CN"/>
                    </w:rPr>
                  </w:pPr>
                  <w:r>
                    <w:rPr>
                      <w:rFonts w:hint="eastAsia"/>
                      <w:color w:val="auto"/>
                      <w:sz w:val="21"/>
                      <w:szCs w:val="21"/>
                      <w:highlight w:val="none"/>
                      <w:lang w:eastAsia="zh-CN"/>
                    </w:rPr>
                    <w:t>固废治理措施</w:t>
                  </w:r>
                </w:p>
              </w:tc>
              <w:tc>
                <w:tcPr>
                  <w:tcW w:w="5140" w:type="dxa"/>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垃圾桶、灰渣仓、燃料仓</w:t>
                  </w:r>
                </w:p>
              </w:tc>
              <w:tc>
                <w:tcPr>
                  <w:tcW w:w="1379" w:type="dxa"/>
                  <w:noWrap w:val="0"/>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779" w:type="dxa"/>
                  <w:noWrap w:val="0"/>
                  <w:vAlign w:val="center"/>
                </w:tcPr>
                <w:p>
                  <w:pPr>
                    <w:jc w:val="center"/>
                    <w:rPr>
                      <w:color w:val="auto"/>
                      <w:sz w:val="21"/>
                      <w:szCs w:val="21"/>
                      <w:highlight w:val="none"/>
                    </w:rPr>
                  </w:pPr>
                  <w:r>
                    <w:rPr>
                      <w:color w:val="auto"/>
                      <w:sz w:val="21"/>
                      <w:szCs w:val="21"/>
                      <w:highlight w:val="none"/>
                    </w:rPr>
                    <w:t>运行维护费用</w:t>
                  </w:r>
                </w:p>
              </w:tc>
              <w:tc>
                <w:tcPr>
                  <w:tcW w:w="5140" w:type="dxa"/>
                  <w:noWrap w:val="0"/>
                  <w:vAlign w:val="center"/>
                </w:tcPr>
                <w:p>
                  <w:pPr>
                    <w:jc w:val="center"/>
                    <w:rPr>
                      <w:color w:val="auto"/>
                      <w:sz w:val="21"/>
                      <w:szCs w:val="21"/>
                      <w:highlight w:val="none"/>
                    </w:rPr>
                  </w:pPr>
                  <w:r>
                    <w:rPr>
                      <w:color w:val="auto"/>
                      <w:sz w:val="21"/>
                      <w:szCs w:val="21"/>
                      <w:highlight w:val="none"/>
                    </w:rPr>
                    <w:t>环境保护措施和设施的运行维护费用</w:t>
                  </w:r>
                </w:p>
              </w:tc>
              <w:tc>
                <w:tcPr>
                  <w:tcW w:w="1379" w:type="dxa"/>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6919" w:type="dxa"/>
                  <w:gridSpan w:val="2"/>
                  <w:noWrap w:val="0"/>
                  <w:vAlign w:val="center"/>
                </w:tcPr>
                <w:p>
                  <w:pPr>
                    <w:jc w:val="center"/>
                    <w:rPr>
                      <w:color w:val="auto"/>
                      <w:sz w:val="21"/>
                      <w:szCs w:val="21"/>
                    </w:rPr>
                  </w:pPr>
                  <w:r>
                    <w:rPr>
                      <w:color w:val="auto"/>
                      <w:sz w:val="21"/>
                      <w:szCs w:val="21"/>
                    </w:rPr>
                    <w:t>环保投资（万元）</w:t>
                  </w:r>
                </w:p>
              </w:tc>
              <w:tc>
                <w:tcPr>
                  <w:tcW w:w="1379"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6919" w:type="dxa"/>
                  <w:gridSpan w:val="2"/>
                  <w:noWrap w:val="0"/>
                  <w:vAlign w:val="center"/>
                </w:tcPr>
                <w:p>
                  <w:pPr>
                    <w:jc w:val="center"/>
                    <w:rPr>
                      <w:color w:val="auto"/>
                      <w:sz w:val="21"/>
                      <w:szCs w:val="21"/>
                    </w:rPr>
                  </w:pPr>
                  <w:r>
                    <w:rPr>
                      <w:color w:val="auto"/>
                      <w:sz w:val="21"/>
                      <w:szCs w:val="21"/>
                    </w:rPr>
                    <w:t>占总投资比例（%）</w:t>
                  </w:r>
                </w:p>
              </w:tc>
              <w:tc>
                <w:tcPr>
                  <w:tcW w:w="1379"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23.81</w:t>
                  </w:r>
                </w:p>
              </w:tc>
            </w:tr>
          </w:tbl>
          <w:p>
            <w:pPr>
              <w:adjustRightInd w:val="0"/>
              <w:snapToGrid w:val="0"/>
              <w:spacing w:line="360" w:lineRule="auto"/>
              <w:rPr>
                <w:rFonts w:hint="eastAsia"/>
                <w:color w:val="000000" w:themeColor="text1"/>
                <w:sz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57" w:hRule="atLeast"/>
          <w:jc w:val="center"/>
        </w:trPr>
        <w:tc>
          <w:tcPr>
            <w:tcW w:w="823" w:type="dxa"/>
            <w:vAlign w:val="center"/>
          </w:tcPr>
          <w:p>
            <w:pPr>
              <w:pStyle w:val="31"/>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815" w:type="dxa"/>
          </w:tcPr>
          <w:p>
            <w:pPr>
              <w:adjustRightInd w:val="0"/>
              <w:snapToGrid w:val="0"/>
              <w:spacing w:before="120" w:beforeLines="50" w:line="360"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1、工艺流程简述：</w:t>
            </w:r>
          </w:p>
          <w:p>
            <w:pPr>
              <w:adjustRightInd w:val="0"/>
              <w:snapToGrid w:val="0"/>
              <w:spacing w:line="360" w:lineRule="auto"/>
              <w:ind w:firstLine="480" w:firstLineChars="200"/>
              <w:rPr>
                <w:color w:val="000000" w:themeColor="text1"/>
                <w:kern w:val="0"/>
                <w:sz w:val="24"/>
                <w14:textFill>
                  <w14:solidFill>
                    <w14:schemeClr w14:val="tx1"/>
                  </w14:solidFill>
                </w14:textFill>
              </w:rPr>
            </w:pPr>
            <w:bookmarkStart w:id="22" w:name="_Hlk108069260"/>
            <w:r>
              <w:rPr>
                <w:color w:val="000000" w:themeColor="text1"/>
                <w:kern w:val="0"/>
                <w:sz w:val="24"/>
                <w14:textFill>
                  <w14:solidFill>
                    <w14:schemeClr w14:val="tx1"/>
                  </w14:solidFill>
                </w14:textFill>
              </w:rPr>
              <w:t>本项目原料为外购的生物质燃料，</w:t>
            </w:r>
            <w:r>
              <w:rPr>
                <w:rFonts w:hint="eastAsia"/>
                <w:color w:val="000000" w:themeColor="text1"/>
                <w:kern w:val="0"/>
                <w:sz w:val="24"/>
                <w14:textFill>
                  <w14:solidFill>
                    <w14:schemeClr w14:val="tx1"/>
                  </w14:solidFill>
                </w14:textFill>
              </w:rPr>
              <w:t>生物质燃料外购拉运，</w:t>
            </w:r>
            <w:r>
              <w:rPr>
                <w:color w:val="000000" w:themeColor="text1"/>
                <w:kern w:val="0"/>
                <w:sz w:val="24"/>
                <w14:textFill>
                  <w14:solidFill>
                    <w14:schemeClr w14:val="tx1"/>
                  </w14:solidFill>
                </w14:textFill>
              </w:rPr>
              <w:t>人工将生物质成型燃料投加到锅炉中，锅炉通过燃烧生物质</w:t>
            </w:r>
            <w:r>
              <w:rPr>
                <w:color w:val="000000" w:themeColor="text1"/>
                <w:kern w:val="0"/>
                <w:sz w:val="24"/>
                <w:highlight w:val="none"/>
                <w14:textFill>
                  <w14:solidFill>
                    <w14:schemeClr w14:val="tx1"/>
                  </w14:solidFill>
                </w14:textFill>
              </w:rPr>
              <w:t>为</w:t>
            </w:r>
            <w:r>
              <w:rPr>
                <w:rFonts w:hint="eastAsia"/>
                <w:color w:val="000000" w:themeColor="text1"/>
                <w:kern w:val="0"/>
                <w:sz w:val="24"/>
                <w:highlight w:val="none"/>
                <w:lang w:val="en-US" w:eastAsia="zh-CN"/>
                <w14:textFill>
                  <w14:solidFill>
                    <w14:schemeClr w14:val="tx1"/>
                  </w14:solidFill>
                </w14:textFill>
              </w:rPr>
              <w:t>居民生活供暖</w:t>
            </w:r>
            <w:r>
              <w:rPr>
                <w:color w:val="000000" w:themeColor="text1"/>
                <w:kern w:val="0"/>
                <w:sz w:val="24"/>
                <w:highlight w:val="none"/>
                <w14:textFill>
                  <w14:solidFill>
                    <w14:schemeClr w14:val="tx1"/>
                  </w14:solidFill>
                </w14:textFill>
              </w:rPr>
              <w:t>，锅炉</w:t>
            </w:r>
            <w:r>
              <w:rPr>
                <w:rFonts w:hint="eastAsia"/>
                <w:color w:val="000000" w:themeColor="text1"/>
                <w:kern w:val="0"/>
                <w:sz w:val="24"/>
                <w:highlight w:val="none"/>
                <w14:textFill>
                  <w14:solidFill>
                    <w14:schemeClr w14:val="tx1"/>
                  </w14:solidFill>
                </w14:textFill>
              </w:rPr>
              <w:t>采用低氮燃烧技术，</w:t>
            </w:r>
            <w:r>
              <w:rPr>
                <w:color w:val="000000" w:themeColor="text1"/>
                <w:kern w:val="0"/>
                <w:sz w:val="24"/>
                <w:highlight w:val="none"/>
                <w14:textFill>
                  <w14:solidFill>
                    <w14:schemeClr w14:val="tx1"/>
                  </w14:solidFill>
                </w14:textFill>
              </w:rPr>
              <w:t>烟气经</w:t>
            </w:r>
            <w:r>
              <w:rPr>
                <w:rFonts w:hint="eastAsia"/>
                <w:bCs/>
                <w:color w:val="000000" w:themeColor="text1"/>
                <w:kern w:val="0"/>
                <w:sz w:val="24"/>
                <w:szCs w:val="21"/>
                <w:highlight w:val="none"/>
                <w14:textFill>
                  <w14:solidFill>
                    <w14:schemeClr w14:val="tx1"/>
                  </w14:solidFill>
                </w14:textFill>
              </w:rPr>
              <w:t>旋风+</w:t>
            </w:r>
            <w:r>
              <w:rPr>
                <w:rFonts w:hint="eastAsia"/>
                <w:color w:val="000000" w:themeColor="text1"/>
                <w:kern w:val="0"/>
                <w:sz w:val="24"/>
                <w:highlight w:val="none"/>
                <w14:textFill>
                  <w14:solidFill>
                    <w14:schemeClr w14:val="tx1"/>
                  </w14:solidFill>
                </w14:textFill>
              </w:rPr>
              <w:t>布袋除尘器</w:t>
            </w:r>
            <w:r>
              <w:rPr>
                <w:color w:val="000000" w:themeColor="text1"/>
                <w:kern w:val="0"/>
                <w:sz w:val="24"/>
                <w:highlight w:val="none"/>
                <w14:textFill>
                  <w14:solidFill>
                    <w14:schemeClr w14:val="tx1"/>
                  </w14:solidFill>
                </w14:textFill>
              </w:rPr>
              <w:t>处理后由</w:t>
            </w:r>
            <w:r>
              <w:rPr>
                <w:rFonts w:hint="eastAsia"/>
                <w:color w:val="000000" w:themeColor="text1"/>
                <w:kern w:val="0"/>
                <w:sz w:val="24"/>
                <w:highlight w:val="none"/>
                <w:lang w:val="en-US" w:eastAsia="zh-CN"/>
                <w14:textFill>
                  <w14:solidFill>
                    <w14:schemeClr w14:val="tx1"/>
                  </w14:solidFill>
                </w14:textFill>
              </w:rPr>
              <w:t>4</w:t>
            </w:r>
            <w:r>
              <w:rPr>
                <w:color w:val="000000" w:themeColor="text1"/>
                <w:kern w:val="0"/>
                <w:sz w:val="24"/>
                <w:highlight w:val="none"/>
                <w14:textFill>
                  <w14:solidFill>
                    <w14:schemeClr w14:val="tx1"/>
                  </w14:solidFill>
                </w14:textFill>
              </w:rPr>
              <w:t>0m高烟囱排放。锅炉灰渣</w:t>
            </w:r>
            <w:r>
              <w:rPr>
                <w:color w:val="000000" w:themeColor="text1"/>
                <w:kern w:val="0"/>
                <w:sz w:val="24"/>
                <w14:textFill>
                  <w14:solidFill>
                    <w14:schemeClr w14:val="tx1"/>
                  </w14:solidFill>
                </w14:textFill>
              </w:rPr>
              <w:t>和除尘器回收的粉尘集中收集</w:t>
            </w:r>
            <w:r>
              <w:rPr>
                <w:rFonts w:hint="eastAsia"/>
                <w:color w:val="000000" w:themeColor="text1"/>
                <w:kern w:val="0"/>
                <w:sz w:val="24"/>
                <w14:textFill>
                  <w14:solidFill>
                    <w14:schemeClr w14:val="tx1"/>
                  </w14:solidFill>
                </w14:textFill>
              </w:rPr>
              <w:t>后，</w:t>
            </w:r>
            <w:r>
              <w:rPr>
                <w:color w:val="000000" w:themeColor="text1"/>
                <w:kern w:val="0"/>
                <w:sz w:val="24"/>
                <w14:textFill>
                  <w14:solidFill>
                    <w14:schemeClr w14:val="tx1"/>
                  </w14:solidFill>
                </w14:textFill>
              </w:rPr>
              <w:t>外售综合利用。</w:t>
            </w:r>
            <w:bookmarkEnd w:id="22"/>
            <w:r>
              <w:rPr>
                <w:rFonts w:hint="eastAsia"/>
                <w:color w:val="000000" w:themeColor="text1"/>
                <w:kern w:val="0"/>
                <w:sz w:val="24"/>
                <w:highlight w:val="none"/>
                <w14:textFill>
                  <w14:solidFill>
                    <w14:schemeClr w14:val="tx1"/>
                  </w14:solidFill>
                </w14:textFill>
              </w:rPr>
              <w:t>锅炉用水来自市政管网，</w:t>
            </w:r>
            <w:r>
              <w:rPr>
                <w:rFonts w:hint="eastAsia"/>
                <w:color w:val="000000" w:themeColor="text1"/>
                <w:kern w:val="0"/>
                <w:sz w:val="24"/>
                <w14:textFill>
                  <w14:solidFill>
                    <w14:schemeClr w14:val="tx1"/>
                  </w14:solidFill>
                </w14:textFill>
              </w:rPr>
              <w:t>排水用于厂区降尘，灰渣间冲渣。</w:t>
            </w:r>
          </w:p>
          <w:p>
            <w:pPr>
              <w:adjustRightInd w:val="0"/>
              <w:snapToGrid w:val="0"/>
              <w:spacing w:line="360" w:lineRule="auto"/>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2、运营期工艺流程及产排污节点如下图所示。</w:t>
            </w:r>
          </w:p>
          <w:p>
            <w:pPr>
              <w:adjustRightInd w:val="0"/>
              <w:snapToGrid w:val="0"/>
              <w:spacing w:line="360" w:lineRule="auto"/>
              <w:jc w:val="center"/>
              <w:rPr>
                <w:b/>
                <w:bCs/>
                <w:color w:val="000000" w:themeColor="text1"/>
                <w:sz w:val="24"/>
                <w14:textFill>
                  <w14:solidFill>
                    <w14:schemeClr w14:val="tx1"/>
                  </w14:solidFill>
                </w14:textFill>
              </w:rPr>
            </w:pPr>
            <w:r>
              <w:drawing>
                <wp:inline distT="0" distB="0" distL="114300" distR="114300">
                  <wp:extent cx="4014470" cy="1470660"/>
                  <wp:effectExtent l="0" t="0" r="5080" b="1524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3"/>
                          <a:stretch>
                            <a:fillRect/>
                          </a:stretch>
                        </pic:blipFill>
                        <pic:spPr>
                          <a:xfrm>
                            <a:off x="0" y="0"/>
                            <a:ext cx="4014470" cy="1470660"/>
                          </a:xfrm>
                          <a:prstGeom prst="rect">
                            <a:avLst/>
                          </a:prstGeom>
                          <a:noFill/>
                          <a:ln>
                            <a:noFill/>
                          </a:ln>
                        </pic:spPr>
                      </pic:pic>
                    </a:graphicData>
                  </a:graphic>
                </wp:inline>
              </w:drawing>
            </w:r>
          </w:p>
          <w:p>
            <w:pPr>
              <w:adjustRightInd w:val="0"/>
              <w:snapToGrid w:val="0"/>
              <w:spacing w:line="36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图</w:t>
            </w:r>
            <w:r>
              <w:rPr>
                <w:rFonts w:hint="eastAsia"/>
                <w:b/>
                <w:bCs/>
                <w:color w:val="000000" w:themeColor="text1"/>
                <w:sz w:val="21"/>
                <w:szCs w:val="21"/>
                <w:highlight w:val="none"/>
                <w14:textFill>
                  <w14:solidFill>
                    <w14:schemeClr w14:val="tx1"/>
                  </w14:solidFill>
                </w14:textFill>
              </w:rPr>
              <w:t>2-2</w:t>
            </w:r>
            <w:r>
              <w:rPr>
                <w:b/>
                <w:bCs/>
                <w:color w:val="000000" w:themeColor="text1"/>
                <w:sz w:val="21"/>
                <w:szCs w:val="21"/>
                <w:highlight w:val="none"/>
                <w14:textFill>
                  <w14:solidFill>
                    <w14:schemeClr w14:val="tx1"/>
                  </w14:solidFill>
                </w14:textFill>
              </w:rPr>
              <w:t xml:space="preserve">   锅炉工艺流程及产排污环节示意图</w:t>
            </w:r>
          </w:p>
          <w:p>
            <w:pPr>
              <w:pStyle w:val="2"/>
              <w:spacing w:before="120" w:beforeLines="50" w:line="360" w:lineRule="auto"/>
              <w:jc w:val="left"/>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3、主要污染工序及污染因子：</w:t>
            </w:r>
          </w:p>
          <w:p>
            <w:pPr>
              <w:pStyle w:val="101"/>
              <w:adjustRightInd/>
              <w:snapToGrid/>
              <w:spacing w:line="240" w:lineRule="auto"/>
              <w:rPr>
                <w:b/>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w:t>
            </w:r>
            <w:r>
              <w:rPr>
                <w:rFonts w:hint="eastAsia"/>
                <w:b/>
                <w:bCs/>
                <w:color w:val="000000" w:themeColor="text1"/>
                <w:sz w:val="21"/>
                <w:szCs w:val="21"/>
                <w:lang w:val="en-US" w:eastAsia="zh-CN"/>
                <w14:textFill>
                  <w14:solidFill>
                    <w14:schemeClr w14:val="tx1"/>
                  </w14:solidFill>
                </w14:textFill>
              </w:rPr>
              <w:t>-5</w:t>
            </w:r>
            <w:r>
              <w:rPr>
                <w:rFonts w:hint="eastAsia"/>
                <w:b/>
                <w:color w:val="000000" w:themeColor="text1"/>
                <w:sz w:val="21"/>
                <w:szCs w:val="21"/>
                <w14:textFill>
                  <w14:solidFill>
                    <w14:schemeClr w14:val="tx1"/>
                  </w14:solidFill>
                </w14:textFill>
              </w:rPr>
              <w:t xml:space="preserve"> 主要污染工序及污染因子一览表</w:t>
            </w:r>
          </w:p>
          <w:tbl>
            <w:tblPr>
              <w:tblStyle w:val="36"/>
              <w:tblW w:w="859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813"/>
              <w:gridCol w:w="3115"/>
              <w:gridCol w:w="2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381"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污染类型</w:t>
                  </w:r>
                </w:p>
              </w:tc>
              <w:tc>
                <w:tcPr>
                  <w:tcW w:w="1813"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污染物</w:t>
                  </w:r>
                </w:p>
              </w:tc>
              <w:tc>
                <w:tcPr>
                  <w:tcW w:w="3115"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污染因子</w:t>
                  </w:r>
                </w:p>
              </w:tc>
              <w:tc>
                <w:tcPr>
                  <w:tcW w:w="2290"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产污节点（工序）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81"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废气</w:t>
                  </w:r>
                </w:p>
              </w:tc>
              <w:tc>
                <w:tcPr>
                  <w:tcW w:w="1813"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锅炉烟气</w:t>
                  </w:r>
                </w:p>
              </w:tc>
              <w:tc>
                <w:tcPr>
                  <w:tcW w:w="3115" w:type="dxa"/>
                  <w:vAlign w:val="center"/>
                </w:tcPr>
                <w:p>
                  <w:pPr>
                    <w:pStyle w:val="78"/>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SO</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、NO</w:t>
                  </w:r>
                  <w:r>
                    <w:rPr>
                      <w:rFonts w:ascii="Times New Roman" w:hAnsi="Times New Roman"/>
                      <w:color w:val="000000" w:themeColor="text1"/>
                      <w:vertAlign w:val="subscript"/>
                      <w14:textFill>
                        <w14:solidFill>
                          <w14:schemeClr w14:val="tx1"/>
                        </w14:solidFill>
                      </w14:textFill>
                    </w:rPr>
                    <w:t>X</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颗粒物</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烟气黑度</w:t>
                  </w:r>
                </w:p>
              </w:tc>
              <w:tc>
                <w:tcPr>
                  <w:tcW w:w="2290"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锅炉运行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81"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废水</w:t>
                  </w:r>
                </w:p>
              </w:tc>
              <w:tc>
                <w:tcPr>
                  <w:tcW w:w="1813"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锅炉废水</w:t>
                  </w:r>
                </w:p>
              </w:tc>
              <w:tc>
                <w:tcPr>
                  <w:tcW w:w="3115"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COD</w:t>
                  </w:r>
                  <w:r>
                    <w:rPr>
                      <w:rFonts w:hint="eastAsia" w:ascii="Times New Roman" w:hAnsi="Times New Roman"/>
                      <w:color w:val="000000" w:themeColor="text1"/>
                      <w14:textFill>
                        <w14:solidFill>
                          <w14:schemeClr w14:val="tx1"/>
                        </w14:solidFill>
                      </w14:textFill>
                    </w:rPr>
                    <w:t>、全盐量</w:t>
                  </w:r>
                </w:p>
              </w:tc>
              <w:tc>
                <w:tcPr>
                  <w:tcW w:w="2290"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锅炉运行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81"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噪声</w:t>
                  </w:r>
                </w:p>
              </w:tc>
              <w:tc>
                <w:tcPr>
                  <w:tcW w:w="1813"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生产噪声</w:t>
                  </w:r>
                </w:p>
              </w:tc>
              <w:tc>
                <w:tcPr>
                  <w:tcW w:w="3115"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等效连续A声级</w:t>
                  </w:r>
                </w:p>
              </w:tc>
              <w:tc>
                <w:tcPr>
                  <w:tcW w:w="2290" w:type="dxa"/>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设备运行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1381" w:type="dxa"/>
                  <w:vMerge w:val="restart"/>
                  <w:vAlign w:val="center"/>
                </w:tcPr>
                <w:p>
                  <w:pPr>
                    <w:pStyle w:val="78"/>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固废</w:t>
                  </w:r>
                </w:p>
              </w:tc>
              <w:tc>
                <w:tcPr>
                  <w:tcW w:w="1813"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除尘灰及灰渣</w:t>
                  </w:r>
                </w:p>
              </w:tc>
              <w:tc>
                <w:tcPr>
                  <w:tcW w:w="3115"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灰渣</w:t>
                  </w:r>
                </w:p>
              </w:tc>
              <w:tc>
                <w:tcPr>
                  <w:tcW w:w="2290"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81" w:type="dxa"/>
                  <w:vMerge w:val="continue"/>
                  <w:vAlign w:val="center"/>
                </w:tcPr>
                <w:p>
                  <w:pPr>
                    <w:pStyle w:val="78"/>
                    <w:rPr>
                      <w:rFonts w:ascii="Times New Roman" w:hAnsi="Times New Roman"/>
                      <w:color w:val="000000" w:themeColor="text1"/>
                      <w14:textFill>
                        <w14:solidFill>
                          <w14:schemeClr w14:val="tx1"/>
                        </w14:solidFill>
                      </w14:textFill>
                    </w:rPr>
                  </w:pPr>
                </w:p>
              </w:tc>
              <w:tc>
                <w:tcPr>
                  <w:tcW w:w="1813"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废布袋</w:t>
                  </w:r>
                </w:p>
              </w:tc>
              <w:tc>
                <w:tcPr>
                  <w:tcW w:w="3115"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废布袋</w:t>
                  </w:r>
                </w:p>
              </w:tc>
              <w:tc>
                <w:tcPr>
                  <w:tcW w:w="2290" w:type="dxa"/>
                  <w:shd w:val="clear" w:color="auto" w:fill="auto"/>
                  <w:vAlign w:val="center"/>
                </w:tcPr>
                <w:p>
                  <w:pPr>
                    <w:pStyle w:val="78"/>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锅炉</w:t>
                  </w:r>
                </w:p>
              </w:tc>
            </w:tr>
          </w:tbl>
          <w:p>
            <w:pPr>
              <w:snapToGrid w:val="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jc w:val="center"/>
        </w:trPr>
        <w:tc>
          <w:tcPr>
            <w:tcW w:w="823" w:type="dxa"/>
            <w:vAlign w:val="center"/>
          </w:tcPr>
          <w:p>
            <w:pPr>
              <w:pStyle w:val="31"/>
              <w:adjustRightInd w:val="0"/>
              <w:snapToGrid w:val="0"/>
              <w:spacing w:before="0" w:beforeAutospacing="0" w:after="0" w:afterAutospacing="0"/>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bCs/>
                <w:color w:val="000000" w:themeColor="text1"/>
                <w:kern w:val="2"/>
                <w:szCs w:val="24"/>
                <w:highlight w:val="none"/>
                <w14:textFill>
                  <w14:solidFill>
                    <w14:schemeClr w14:val="tx1"/>
                  </w14:solidFill>
                </w14:textFill>
              </w:rPr>
              <w:t>与项目有关的原有环境污染问题</w:t>
            </w:r>
          </w:p>
        </w:tc>
        <w:tc>
          <w:tcPr>
            <w:tcW w:w="8815" w:type="dxa"/>
            <w:vAlign w:val="center"/>
          </w:tcPr>
          <w:p>
            <w:pPr>
              <w:snapToGrid w:val="0"/>
              <w:spacing w:line="360" w:lineRule="auto"/>
              <w:ind w:firstLine="480" w:firstLineChars="200"/>
              <w:jc w:val="both"/>
              <w:rPr>
                <w:color w:val="000000" w:themeColor="text1"/>
                <w:sz w:val="24"/>
                <w:highlight w:val="none"/>
                <w14:textFill>
                  <w14:solidFill>
                    <w14:schemeClr w14:val="tx1"/>
                  </w14:solidFill>
                </w14:textFill>
              </w:rPr>
            </w:pPr>
            <w:r>
              <w:rPr>
                <w:rFonts w:hint="default" w:ascii="Times New Roman" w:hAnsi="Times New Roman" w:cs="Times New Roman"/>
                <w:color w:val="auto"/>
                <w:kern w:val="0"/>
                <w:sz w:val="24"/>
                <w:szCs w:val="24"/>
                <w:highlight w:val="none"/>
                <w:lang w:val="en-US" w:eastAsia="zh-CN"/>
              </w:rPr>
              <w:t>本项目为新建项目，无</w:t>
            </w:r>
            <w:r>
              <w:rPr>
                <w:rFonts w:hint="eastAsia" w:ascii="Times New Roman" w:hAnsi="Times New Roman" w:cs="Times New Roman"/>
                <w:color w:val="auto"/>
                <w:kern w:val="0"/>
                <w:sz w:val="24"/>
                <w:szCs w:val="24"/>
                <w:highlight w:val="none"/>
                <w:lang w:val="en-US" w:eastAsia="zh-CN"/>
              </w:rPr>
              <w:t>原有</w:t>
            </w:r>
            <w:r>
              <w:rPr>
                <w:rFonts w:hint="default" w:ascii="Times New Roman" w:hAnsi="Times New Roman" w:cs="Times New Roman"/>
                <w:color w:val="auto"/>
                <w:kern w:val="0"/>
                <w:sz w:val="24"/>
                <w:szCs w:val="24"/>
                <w:highlight w:val="none"/>
                <w:lang w:val="en-US" w:eastAsia="zh-CN"/>
              </w:rPr>
              <w:t>环境问题。</w:t>
            </w:r>
          </w:p>
        </w:tc>
      </w:tr>
    </w:tbl>
    <w:p>
      <w:pPr>
        <w:pStyle w:val="31"/>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adjustRightInd w:val="0"/>
        <w:snapToGrid w:val="0"/>
        <w:spacing w:before="0" w:beforeAutospacing="0" w:after="0" w:afterAutospacing="0" w:line="14" w:lineRule="auto"/>
        <w:jc w:val="center"/>
        <w:rPr>
          <w:rFonts w:ascii="Times New Roman" w:hAnsi="Times New Roman" w:eastAsia="黑体"/>
          <w:snapToGrid w:val="0"/>
          <w:color w:val="000000" w:themeColor="text1"/>
          <w:sz w:val="30"/>
          <w:szCs w:val="30"/>
          <w14:textFill>
            <w14:solidFill>
              <w14:schemeClr w14:val="tx1"/>
            </w14:solidFill>
          </w14:textFill>
        </w:rPr>
      </w:pPr>
    </w:p>
    <w:p>
      <w:pPr>
        <w:pStyle w:val="31"/>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23" w:name="_Toc8236"/>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bookmarkEnd w:id="23"/>
    </w:p>
    <w:tbl>
      <w:tblPr>
        <w:tblStyle w:val="36"/>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2"/>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692"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946" w:type="dxa"/>
            <w:vAlign w:val="center"/>
          </w:tcPr>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1、大气环境质量现状</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（1）基本污染物 </w:t>
            </w:r>
          </w:p>
          <w:p>
            <w:pPr>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本项目所在地属伊春市，</w:t>
            </w:r>
            <w:r>
              <w:rPr>
                <w:color w:val="000000" w:themeColor="text1"/>
                <w:kern w:val="0"/>
                <w:sz w:val="24"/>
                <w:u w:color="000000"/>
                <w14:textFill>
                  <w14:solidFill>
                    <w14:schemeClr w14:val="tx1"/>
                  </w14:solidFill>
                </w14:textFill>
              </w:rPr>
              <w:t>根据《202</w:t>
            </w:r>
            <w:r>
              <w:rPr>
                <w:rFonts w:hint="eastAsia"/>
                <w:color w:val="000000" w:themeColor="text1"/>
                <w:kern w:val="0"/>
                <w:sz w:val="24"/>
                <w:u w:color="000000"/>
                <w14:textFill>
                  <w14:solidFill>
                    <w14:schemeClr w14:val="tx1"/>
                  </w14:solidFill>
                </w14:textFill>
              </w:rPr>
              <w:t>5</w:t>
            </w:r>
            <w:r>
              <w:rPr>
                <w:color w:val="000000" w:themeColor="text1"/>
                <w:kern w:val="0"/>
                <w:sz w:val="24"/>
                <w:u w:color="000000"/>
                <w14:textFill>
                  <w14:solidFill>
                    <w14:schemeClr w14:val="tx1"/>
                  </w14:solidFill>
                </w14:textFill>
              </w:rPr>
              <w:t>年</w:t>
            </w:r>
            <w:r>
              <w:rPr>
                <w:rFonts w:hint="eastAsia"/>
                <w:color w:val="000000" w:themeColor="text1"/>
                <w:kern w:val="0"/>
                <w:sz w:val="24"/>
                <w:u w:color="000000"/>
                <w14:textFill>
                  <w14:solidFill>
                    <w14:schemeClr w14:val="tx1"/>
                  </w14:solidFill>
                </w14:textFill>
              </w:rPr>
              <w:t>黑龙江省</w:t>
            </w:r>
            <w:r>
              <w:rPr>
                <w:color w:val="000000" w:themeColor="text1"/>
                <w:kern w:val="0"/>
                <w:sz w:val="24"/>
                <w:u w:color="000000"/>
                <w14:textFill>
                  <w14:solidFill>
                    <w14:schemeClr w14:val="tx1"/>
                  </w14:solidFill>
                </w14:textFill>
              </w:rPr>
              <w:t>生态环境质量</w:t>
            </w:r>
            <w:r>
              <w:rPr>
                <w:rFonts w:hint="eastAsia"/>
                <w:color w:val="000000" w:themeColor="text1"/>
                <w:kern w:val="0"/>
                <w:sz w:val="24"/>
                <w:u w:color="000000"/>
                <w14:textFill>
                  <w14:solidFill>
                    <w14:schemeClr w14:val="tx1"/>
                  </w14:solidFill>
                </w14:textFill>
              </w:rPr>
              <w:t>状况</w:t>
            </w:r>
            <w:r>
              <w:rPr>
                <w:color w:val="000000" w:themeColor="text1"/>
                <w:kern w:val="0"/>
                <w:sz w:val="24"/>
                <w:u w:color="000000"/>
                <w14:textFill>
                  <w14:solidFill>
                    <w14:schemeClr w14:val="tx1"/>
                  </w14:solidFill>
                </w14:textFill>
              </w:rPr>
              <w:t>》</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年，全市环境空气质量达标，二氧化硫、二氧化氮年均值、可吸入颗粒物PM</w:t>
            </w:r>
            <w:r>
              <w:rPr>
                <w:color w:val="000000" w:themeColor="text1"/>
                <w:sz w:val="24"/>
                <w:vertAlign w:val="subscript"/>
                <w14:textFill>
                  <w14:solidFill>
                    <w14:schemeClr w14:val="tx1"/>
                  </w14:solidFill>
                </w14:textFill>
              </w:rPr>
              <w:t>10</w:t>
            </w:r>
            <w:r>
              <w:rPr>
                <w:color w:val="000000" w:themeColor="text1"/>
                <w:sz w:val="24"/>
                <w14:textFill>
                  <w14:solidFill>
                    <w14:schemeClr w14:val="tx1"/>
                  </w14:solidFill>
                </w14:textFill>
              </w:rPr>
              <w:t>、细颗粒物 PM</w:t>
            </w:r>
            <w:r>
              <w:rPr>
                <w:color w:val="000000" w:themeColor="text1"/>
                <w:sz w:val="24"/>
                <w:vertAlign w:val="subscript"/>
                <w14:textFill>
                  <w14:solidFill>
                    <w14:schemeClr w14:val="tx1"/>
                  </w14:solidFill>
                </w14:textFill>
              </w:rPr>
              <w:t>2.5</w:t>
            </w:r>
            <w:r>
              <w:rPr>
                <w:color w:val="000000" w:themeColor="text1"/>
                <w:sz w:val="24"/>
                <w14:textFill>
                  <w14:solidFill>
                    <w14:schemeClr w14:val="tx1"/>
                  </w14:solidFill>
                </w14:textFill>
              </w:rPr>
              <w:t>、一氧化碳24小时平均第95百分位数和臭氧日最大8小时滑动平均值的第90百分位数共6项污染物年均值浓度均优于国家环境空气质量二级标准。本项目所在区域属于达标区。</w:t>
            </w:r>
          </w:p>
          <w:p>
            <w:pPr>
              <w:adjustRightInd w:val="0"/>
              <w:snapToGrid w:val="0"/>
              <w:spacing w:line="240" w:lineRule="auto"/>
              <w:ind w:firstLine="422"/>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表3-</w:t>
            </w:r>
            <w:r>
              <w:rPr>
                <w:rFonts w:hint="eastAsia"/>
                <w:b/>
                <w:bCs/>
                <w:color w:val="000000" w:themeColor="text1"/>
                <w:sz w:val="21"/>
                <w:szCs w:val="21"/>
                <w14:textFill>
                  <w14:solidFill>
                    <w14:schemeClr w14:val="tx1"/>
                  </w14:solidFill>
                </w14:textFill>
              </w:rPr>
              <w:t>1</w:t>
            </w:r>
            <w:r>
              <w:rPr>
                <w:b/>
                <w:bCs/>
                <w:color w:val="000000" w:themeColor="text1"/>
                <w:sz w:val="21"/>
                <w:szCs w:val="21"/>
                <w14:textFill>
                  <w14:solidFill>
                    <w14:schemeClr w14:val="tx1"/>
                  </w14:solidFill>
                </w14:textFill>
              </w:rPr>
              <w:t xml:space="preserve">  202</w:t>
            </w:r>
            <w:r>
              <w:rPr>
                <w:rFonts w:hint="eastAsia"/>
                <w:b/>
                <w:bCs/>
                <w:color w:val="000000" w:themeColor="text1"/>
                <w:sz w:val="21"/>
                <w:szCs w:val="21"/>
                <w14:textFill>
                  <w14:solidFill>
                    <w14:schemeClr w14:val="tx1"/>
                  </w14:solidFill>
                </w14:textFill>
              </w:rPr>
              <w:t>5</w:t>
            </w:r>
            <w:r>
              <w:rPr>
                <w:b/>
                <w:bCs/>
                <w:color w:val="000000" w:themeColor="text1"/>
                <w:sz w:val="21"/>
                <w:szCs w:val="21"/>
                <w14:textFill>
                  <w14:solidFill>
                    <w14:schemeClr w14:val="tx1"/>
                  </w14:solidFill>
                </w14:textFill>
              </w:rPr>
              <w:t>年环境空气各项污染物达标情况一览表   单位：μg/m</w:t>
            </w:r>
            <w:r>
              <w:rPr>
                <w:b/>
                <w:bCs/>
                <w:color w:val="000000" w:themeColor="text1"/>
                <w:sz w:val="21"/>
                <w:szCs w:val="21"/>
                <w:vertAlign w:val="superscript"/>
                <w14:textFill>
                  <w14:solidFill>
                    <w14:schemeClr w14:val="tx1"/>
                  </w14:solidFill>
                </w14:textFill>
              </w:rPr>
              <w:t>3</w:t>
            </w:r>
          </w:p>
          <w:tbl>
            <w:tblPr>
              <w:tblStyle w:val="36"/>
              <w:tblW w:w="87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04"/>
              <w:gridCol w:w="3418"/>
              <w:gridCol w:w="1081"/>
              <w:gridCol w:w="1255"/>
              <w:gridCol w:w="1032"/>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04"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污染物</w:t>
                  </w:r>
                </w:p>
              </w:tc>
              <w:tc>
                <w:tcPr>
                  <w:tcW w:w="3418"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年评价指标</w:t>
                  </w:r>
                </w:p>
              </w:tc>
              <w:tc>
                <w:tcPr>
                  <w:tcW w:w="1081"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现状浓度/（μg/m</w:t>
                  </w:r>
                  <w:r>
                    <w:rPr>
                      <w:rFonts w:ascii="Times New Roman" w:hAnsi="Times New Roman"/>
                      <w:color w:val="000000" w:themeColor="text1"/>
                      <w:sz w:val="21"/>
                      <w:szCs w:val="21"/>
                      <w:vertAlign w:val="superscript"/>
                      <w:lang w:bidi="ar"/>
                      <w14:textFill>
                        <w14:solidFill>
                          <w14:schemeClr w14:val="tx1"/>
                        </w14:solidFill>
                      </w14:textFill>
                    </w:rPr>
                    <w:t>3</w:t>
                  </w:r>
                  <w:r>
                    <w:rPr>
                      <w:rFonts w:ascii="Times New Roman" w:hAnsi="Times New Roman"/>
                      <w:color w:val="000000" w:themeColor="text1"/>
                      <w:sz w:val="21"/>
                      <w:szCs w:val="21"/>
                      <w:lang w:bidi="ar"/>
                      <w14:textFill>
                        <w14:solidFill>
                          <w14:schemeClr w14:val="tx1"/>
                        </w14:solidFill>
                      </w14:textFill>
                    </w:rPr>
                    <w:t>）</w:t>
                  </w:r>
                </w:p>
              </w:tc>
              <w:tc>
                <w:tcPr>
                  <w:tcW w:w="1255"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标准值/（μg/m</w:t>
                  </w:r>
                  <w:r>
                    <w:rPr>
                      <w:rFonts w:ascii="Times New Roman" w:hAnsi="Times New Roman"/>
                      <w:color w:val="000000" w:themeColor="text1"/>
                      <w:sz w:val="21"/>
                      <w:szCs w:val="21"/>
                      <w:vertAlign w:val="superscript"/>
                      <w:lang w:bidi="ar"/>
                      <w14:textFill>
                        <w14:solidFill>
                          <w14:schemeClr w14:val="tx1"/>
                        </w14:solidFill>
                      </w14:textFill>
                    </w:rPr>
                    <w:t>3</w:t>
                  </w:r>
                  <w:r>
                    <w:rPr>
                      <w:rFonts w:ascii="Times New Roman" w:hAnsi="Times New Roman"/>
                      <w:color w:val="000000" w:themeColor="text1"/>
                      <w:sz w:val="21"/>
                      <w:szCs w:val="21"/>
                      <w:lang w:bidi="ar"/>
                      <w14:textFill>
                        <w14:solidFill>
                          <w14:schemeClr w14:val="tx1"/>
                        </w14:solidFill>
                      </w14:textFill>
                    </w:rPr>
                    <w:t>）</w:t>
                  </w:r>
                </w:p>
              </w:tc>
              <w:tc>
                <w:tcPr>
                  <w:tcW w:w="1032"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占标率/%</w:t>
                  </w:r>
                </w:p>
              </w:tc>
              <w:tc>
                <w:tcPr>
                  <w:tcW w:w="1137"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04" w:type="dxa"/>
                  <w:vAlign w:val="center"/>
                </w:tcPr>
                <w:p>
                  <w:pPr>
                    <w:pStyle w:val="31"/>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PM</w:t>
                  </w:r>
                  <w:r>
                    <w:rPr>
                      <w:rFonts w:ascii="Times New Roman" w:hAnsi="Times New Roman"/>
                      <w:color w:val="000000" w:themeColor="text1"/>
                      <w:sz w:val="21"/>
                      <w:szCs w:val="21"/>
                      <w:vertAlign w:val="subscript"/>
                      <w:lang w:bidi="ar"/>
                      <w14:textFill>
                        <w14:solidFill>
                          <w14:schemeClr w14:val="tx1"/>
                        </w14:solidFill>
                      </w14:textFill>
                    </w:rPr>
                    <w:t>2.5</w:t>
                  </w:r>
                </w:p>
              </w:tc>
              <w:tc>
                <w:tcPr>
                  <w:tcW w:w="3418"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年平均质量浓度</w:t>
                  </w:r>
                </w:p>
              </w:tc>
              <w:tc>
                <w:tcPr>
                  <w:tcW w:w="1081"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24</w:t>
                  </w:r>
                </w:p>
              </w:tc>
              <w:tc>
                <w:tcPr>
                  <w:tcW w:w="1255"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30</w:t>
                  </w:r>
                </w:p>
              </w:tc>
              <w:tc>
                <w:tcPr>
                  <w:tcW w:w="1032"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80</w:t>
                  </w:r>
                </w:p>
              </w:tc>
              <w:tc>
                <w:tcPr>
                  <w:tcW w:w="1137"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04" w:type="dxa"/>
                  <w:vAlign w:val="center"/>
                </w:tcPr>
                <w:p>
                  <w:pPr>
                    <w:pStyle w:val="31"/>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PM</w:t>
                  </w:r>
                  <w:r>
                    <w:rPr>
                      <w:rFonts w:ascii="Times New Roman" w:hAnsi="Times New Roman"/>
                      <w:color w:val="000000" w:themeColor="text1"/>
                      <w:sz w:val="21"/>
                      <w:szCs w:val="21"/>
                      <w:vertAlign w:val="subscript"/>
                      <w:lang w:bidi="ar"/>
                      <w14:textFill>
                        <w14:solidFill>
                          <w14:schemeClr w14:val="tx1"/>
                        </w14:solidFill>
                      </w14:textFill>
                    </w:rPr>
                    <w:t>10</w:t>
                  </w:r>
                </w:p>
              </w:tc>
              <w:tc>
                <w:tcPr>
                  <w:tcW w:w="3418"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年平均质量浓度</w:t>
                  </w:r>
                </w:p>
              </w:tc>
              <w:tc>
                <w:tcPr>
                  <w:tcW w:w="1081"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3</w:t>
                  </w:r>
                  <w:r>
                    <w:rPr>
                      <w:rFonts w:hint="eastAsia" w:ascii="Times New Roman" w:hAnsi="Times New Roman"/>
                      <w:color w:val="000000" w:themeColor="text1"/>
                      <w:sz w:val="21"/>
                      <w:szCs w:val="21"/>
                      <w:lang w:bidi="ar"/>
                      <w14:textFill>
                        <w14:solidFill>
                          <w14:schemeClr w14:val="tx1"/>
                        </w14:solidFill>
                      </w14:textFill>
                    </w:rPr>
                    <w:t>2</w:t>
                  </w:r>
                </w:p>
              </w:tc>
              <w:tc>
                <w:tcPr>
                  <w:tcW w:w="1255"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60</w:t>
                  </w:r>
                </w:p>
              </w:tc>
              <w:tc>
                <w:tcPr>
                  <w:tcW w:w="1032"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53.33</w:t>
                  </w:r>
                </w:p>
              </w:tc>
              <w:tc>
                <w:tcPr>
                  <w:tcW w:w="1137"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04" w:type="dxa"/>
                  <w:vAlign w:val="center"/>
                </w:tcPr>
                <w:p>
                  <w:pPr>
                    <w:pStyle w:val="31"/>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SO</w:t>
                  </w:r>
                  <w:r>
                    <w:rPr>
                      <w:rFonts w:ascii="Times New Roman" w:hAnsi="Times New Roman"/>
                      <w:color w:val="000000" w:themeColor="text1"/>
                      <w:sz w:val="21"/>
                      <w:szCs w:val="21"/>
                      <w:vertAlign w:val="subscript"/>
                      <w:lang w:bidi="ar"/>
                      <w14:textFill>
                        <w14:solidFill>
                          <w14:schemeClr w14:val="tx1"/>
                        </w14:solidFill>
                      </w14:textFill>
                    </w:rPr>
                    <w:t>2</w:t>
                  </w:r>
                </w:p>
              </w:tc>
              <w:tc>
                <w:tcPr>
                  <w:tcW w:w="3418"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年平均质量浓度</w:t>
                  </w:r>
                </w:p>
              </w:tc>
              <w:tc>
                <w:tcPr>
                  <w:tcW w:w="1081"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5</w:t>
                  </w:r>
                </w:p>
              </w:tc>
              <w:tc>
                <w:tcPr>
                  <w:tcW w:w="1255"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60</w:t>
                  </w:r>
                </w:p>
              </w:tc>
              <w:tc>
                <w:tcPr>
                  <w:tcW w:w="1032"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8.33</w:t>
                  </w:r>
                </w:p>
              </w:tc>
              <w:tc>
                <w:tcPr>
                  <w:tcW w:w="1137"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04" w:type="dxa"/>
                  <w:vAlign w:val="center"/>
                </w:tcPr>
                <w:p>
                  <w:pPr>
                    <w:pStyle w:val="31"/>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NO</w:t>
                  </w:r>
                  <w:r>
                    <w:rPr>
                      <w:rFonts w:ascii="Times New Roman" w:hAnsi="Times New Roman"/>
                      <w:color w:val="000000" w:themeColor="text1"/>
                      <w:sz w:val="21"/>
                      <w:szCs w:val="21"/>
                      <w:vertAlign w:val="subscript"/>
                      <w:lang w:bidi="ar"/>
                      <w14:textFill>
                        <w14:solidFill>
                          <w14:schemeClr w14:val="tx1"/>
                        </w14:solidFill>
                      </w14:textFill>
                    </w:rPr>
                    <w:t>2</w:t>
                  </w:r>
                </w:p>
              </w:tc>
              <w:tc>
                <w:tcPr>
                  <w:tcW w:w="3418"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年平均质量浓度</w:t>
                  </w:r>
                </w:p>
              </w:tc>
              <w:tc>
                <w:tcPr>
                  <w:tcW w:w="1081"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11</w:t>
                  </w:r>
                </w:p>
              </w:tc>
              <w:tc>
                <w:tcPr>
                  <w:tcW w:w="1255"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40</w:t>
                  </w:r>
                </w:p>
              </w:tc>
              <w:tc>
                <w:tcPr>
                  <w:tcW w:w="1032"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27.5</w:t>
                  </w:r>
                </w:p>
              </w:tc>
              <w:tc>
                <w:tcPr>
                  <w:tcW w:w="1137"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04" w:type="dxa"/>
                  <w:vAlign w:val="center"/>
                </w:tcPr>
                <w:p>
                  <w:pPr>
                    <w:pStyle w:val="31"/>
                    <w:widowControl w:val="0"/>
                    <w:spacing w:before="0" w:beforeAutospacing="0" w:after="0" w:afterAutospacing="0"/>
                    <w:jc w:val="center"/>
                    <w:rPr>
                      <w:rFonts w:ascii="Times New Roman" w:hAnsi="Times New Roman"/>
                      <w:color w:val="000000" w:themeColor="text1"/>
                      <w:sz w:val="21"/>
                      <w:szCs w:val="21"/>
                      <w:vertAlign w:val="subscript"/>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CO</w:t>
                  </w:r>
                </w:p>
              </w:tc>
              <w:tc>
                <w:tcPr>
                  <w:tcW w:w="3418"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第95百分位数日平均浓度（mg/m</w:t>
                  </w:r>
                  <w:r>
                    <w:rPr>
                      <w:rFonts w:ascii="Times New Roman" w:hAnsi="Times New Roman"/>
                      <w:color w:val="000000" w:themeColor="text1"/>
                      <w:sz w:val="21"/>
                      <w:szCs w:val="21"/>
                      <w:vertAlign w:val="superscript"/>
                      <w:lang w:bidi="ar"/>
                      <w14:textFill>
                        <w14:solidFill>
                          <w14:schemeClr w14:val="tx1"/>
                        </w14:solidFill>
                      </w14:textFill>
                    </w:rPr>
                    <w:t>3</w:t>
                  </w:r>
                  <w:r>
                    <w:rPr>
                      <w:rFonts w:ascii="Times New Roman" w:hAnsi="Times New Roman"/>
                      <w:color w:val="000000" w:themeColor="text1"/>
                      <w:sz w:val="21"/>
                      <w:szCs w:val="21"/>
                      <w:lang w:bidi="ar"/>
                      <w14:textFill>
                        <w14:solidFill>
                          <w14:schemeClr w14:val="tx1"/>
                        </w14:solidFill>
                      </w14:textFill>
                    </w:rPr>
                    <w:t>）</w:t>
                  </w:r>
                </w:p>
              </w:tc>
              <w:tc>
                <w:tcPr>
                  <w:tcW w:w="1081"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bidi="ar"/>
                      <w14:textFill>
                        <w14:solidFill>
                          <w14:schemeClr w14:val="tx1"/>
                        </w14:solidFill>
                      </w14:textFill>
                    </w:rPr>
                    <w:t>1.0</w:t>
                  </w:r>
                </w:p>
              </w:tc>
              <w:tc>
                <w:tcPr>
                  <w:tcW w:w="1255"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4.0</w:t>
                  </w:r>
                </w:p>
              </w:tc>
              <w:tc>
                <w:tcPr>
                  <w:tcW w:w="1032"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2</w:t>
                  </w:r>
                  <w:r>
                    <w:rPr>
                      <w:rFonts w:hint="eastAsia" w:ascii="Times New Roman" w:hAnsi="Times New Roman"/>
                      <w:color w:val="000000" w:themeColor="text1"/>
                      <w:sz w:val="21"/>
                      <w:szCs w:val="21"/>
                      <w:lang w:bidi="ar"/>
                      <w14:textFill>
                        <w14:solidFill>
                          <w14:schemeClr w14:val="tx1"/>
                        </w14:solidFill>
                      </w14:textFill>
                    </w:rPr>
                    <w:t>5</w:t>
                  </w:r>
                  <w:r>
                    <w:rPr>
                      <w:rFonts w:ascii="Times New Roman" w:hAnsi="Times New Roman"/>
                      <w:color w:val="000000" w:themeColor="text1"/>
                      <w:sz w:val="21"/>
                      <w:szCs w:val="21"/>
                      <w:lang w:bidi="ar"/>
                      <w14:textFill>
                        <w14:solidFill>
                          <w14:schemeClr w14:val="tx1"/>
                        </w14:solidFill>
                      </w14:textFill>
                    </w:rPr>
                    <w:t>.00</w:t>
                  </w:r>
                </w:p>
              </w:tc>
              <w:tc>
                <w:tcPr>
                  <w:tcW w:w="1137"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804"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O</w:t>
                  </w:r>
                  <w:r>
                    <w:rPr>
                      <w:rFonts w:ascii="Times New Roman" w:hAnsi="Times New Roman"/>
                      <w:color w:val="000000" w:themeColor="text1"/>
                      <w:sz w:val="21"/>
                      <w:szCs w:val="21"/>
                      <w:vertAlign w:val="subscript"/>
                      <w:lang w:bidi="ar"/>
                      <w14:textFill>
                        <w14:solidFill>
                          <w14:schemeClr w14:val="tx1"/>
                        </w14:solidFill>
                      </w14:textFill>
                    </w:rPr>
                    <w:t>3</w:t>
                  </w:r>
                </w:p>
              </w:tc>
              <w:tc>
                <w:tcPr>
                  <w:tcW w:w="3418"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第90百分位数8h平均质量浓度</w:t>
                  </w:r>
                </w:p>
              </w:tc>
              <w:tc>
                <w:tcPr>
                  <w:tcW w:w="1081"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10</w:t>
                  </w:r>
                  <w:r>
                    <w:rPr>
                      <w:rFonts w:hint="eastAsia" w:ascii="Times New Roman" w:hAnsi="Times New Roman"/>
                      <w:color w:val="000000" w:themeColor="text1"/>
                      <w:sz w:val="21"/>
                      <w:szCs w:val="21"/>
                      <w:lang w:bidi="ar"/>
                      <w14:textFill>
                        <w14:solidFill>
                          <w14:schemeClr w14:val="tx1"/>
                        </w14:solidFill>
                      </w14:textFill>
                    </w:rPr>
                    <w:t>2</w:t>
                  </w:r>
                </w:p>
              </w:tc>
              <w:tc>
                <w:tcPr>
                  <w:tcW w:w="1255"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160</w:t>
                  </w:r>
                </w:p>
              </w:tc>
              <w:tc>
                <w:tcPr>
                  <w:tcW w:w="1032"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63.75</w:t>
                  </w:r>
                </w:p>
              </w:tc>
              <w:tc>
                <w:tcPr>
                  <w:tcW w:w="1137" w:type="dxa"/>
                  <w:vAlign w:val="center"/>
                </w:tcPr>
                <w:p>
                  <w:pPr>
                    <w:pStyle w:val="31"/>
                    <w:widowControl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lang w:bidi="ar"/>
                      <w14:textFill>
                        <w14:solidFill>
                          <w14:schemeClr w14:val="tx1"/>
                        </w14:solidFill>
                      </w14:textFill>
                    </w:rPr>
                    <w:t>达标</w:t>
                  </w:r>
                </w:p>
              </w:tc>
            </w:tr>
          </w:tbl>
          <w:p>
            <w:pPr>
              <w:adjustRightInd w:val="0"/>
              <w:snapToGrid w:val="0"/>
              <w:spacing w:line="360" w:lineRule="auto"/>
              <w:rPr>
                <w:color w:val="000000" w:themeColor="text1"/>
                <w14:textFill>
                  <w14:solidFill>
                    <w14:schemeClr w14:val="tx1"/>
                  </w14:solidFill>
                </w14:textFill>
              </w:rPr>
            </w:pPr>
            <w:r>
              <w:rPr>
                <w:color w:val="000000" w:themeColor="text1"/>
                <w:sz w:val="18"/>
                <w:szCs w:val="18"/>
                <w14:textFill>
                  <w14:solidFill>
                    <w14:schemeClr w14:val="tx1"/>
                  </w14:solidFill>
                </w14:textFill>
              </w:rPr>
              <w:t>注：日均值第X百分位数按照《</w:t>
            </w:r>
            <w:r>
              <w:rPr>
                <w:rFonts w:hint="eastAsia"/>
                <w:color w:val="000000" w:themeColor="text1"/>
                <w:sz w:val="18"/>
                <w:szCs w:val="18"/>
                <w14:textFill>
                  <w14:solidFill>
                    <w14:schemeClr w14:val="tx1"/>
                  </w14:solidFill>
                </w14:textFill>
              </w:rPr>
              <w:t>环境空气质量评价技术规范</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HJ 663-2026</w:t>
            </w:r>
            <w:r>
              <w:rPr>
                <w:color w:val="000000" w:themeColor="text1"/>
                <w:sz w:val="18"/>
                <w:szCs w:val="18"/>
                <w14:textFill>
                  <w14:solidFill>
                    <w14:schemeClr w14:val="tx1"/>
                  </w14:solidFill>
                </w14:textFill>
              </w:rPr>
              <w:t>），二氧化氮、二氧化硫X为98，PM</w:t>
            </w:r>
            <w:r>
              <w:rPr>
                <w:color w:val="000000" w:themeColor="text1"/>
                <w:sz w:val="18"/>
                <w:szCs w:val="18"/>
                <w:vertAlign w:val="subscript"/>
                <w14:textFill>
                  <w14:solidFill>
                    <w14:schemeClr w14:val="tx1"/>
                  </w14:solidFill>
                </w14:textFill>
              </w:rPr>
              <w:t>2.5</w:t>
            </w:r>
            <w:r>
              <w:rPr>
                <w:color w:val="000000" w:themeColor="text1"/>
                <w:sz w:val="18"/>
                <w:szCs w:val="18"/>
                <w14:textFill>
                  <w14:solidFill>
                    <w14:schemeClr w14:val="tx1"/>
                  </w14:solidFill>
                </w14:textFill>
              </w:rPr>
              <w:t>、PM</w:t>
            </w:r>
            <w:r>
              <w:rPr>
                <w:color w:val="000000" w:themeColor="text1"/>
                <w:sz w:val="18"/>
                <w:szCs w:val="18"/>
                <w:vertAlign w:val="subscript"/>
                <w14:textFill>
                  <w14:solidFill>
                    <w14:schemeClr w14:val="tx1"/>
                  </w14:solidFill>
                </w14:textFill>
              </w:rPr>
              <w:t>10</w:t>
            </w:r>
            <w:r>
              <w:rPr>
                <w:color w:val="000000" w:themeColor="text1"/>
                <w:sz w:val="18"/>
                <w:szCs w:val="18"/>
                <w14:textFill>
                  <w14:solidFill>
                    <w14:schemeClr w14:val="tx1"/>
                  </w14:solidFill>
                </w14:textFill>
              </w:rPr>
              <w:t>、一氧化碳X为95，臭氧日最大8小时平均X为90。</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其他</w:t>
            </w:r>
            <w:r>
              <w:rPr>
                <w:color w:val="000000" w:themeColor="text1"/>
                <w:sz w:val="24"/>
                <w14:textFill>
                  <w14:solidFill>
                    <w14:schemeClr w14:val="tx1"/>
                  </w14:solidFill>
                </w14:textFill>
              </w:rPr>
              <w:t>污染物（TSP）</w:t>
            </w:r>
          </w:p>
          <w:p>
            <w:pPr>
              <w:adjustRightInd w:val="0"/>
              <w:snapToGrid w:val="0"/>
              <w:spacing w:line="360" w:lineRule="auto"/>
              <w:ind w:firstLine="480" w:firstLineChars="200"/>
              <w:rPr>
                <w:color w:val="000000" w:themeColor="text1"/>
                <w:sz w:val="24"/>
                <w:lang w:val="zh-CN"/>
                <w14:textFill>
                  <w14:solidFill>
                    <w14:schemeClr w14:val="tx1"/>
                  </w14:solidFill>
                </w14:textFill>
              </w:rPr>
            </w:pPr>
            <w:r>
              <w:rPr>
                <w:rStyle w:val="137"/>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本项目的其他污染</w:t>
            </w:r>
            <w:r>
              <w:rPr>
                <w:rFonts w:hint="eastAsia"/>
                <w:color w:val="000000" w:themeColor="text1"/>
                <w:kern w:val="0"/>
                <w:sz w:val="24"/>
                <w:szCs w:val="24"/>
                <w14:textFill>
                  <w14:solidFill>
                    <w14:schemeClr w14:val="tx1"/>
                  </w14:solidFill>
                </w14:textFill>
              </w:rPr>
              <w:t>物为TSP，</w:t>
            </w:r>
            <w:r>
              <w:rPr>
                <w:rFonts w:hint="eastAsia"/>
                <w:color w:val="000000" w:themeColor="text1"/>
                <w:kern w:val="0"/>
                <w:sz w:val="24"/>
                <w:szCs w:val="24"/>
                <w:lang w:val="en-US" w:eastAsia="zh-CN"/>
                <w14:textFill>
                  <w14:solidFill>
                    <w14:schemeClr w14:val="tx1"/>
                  </w14:solidFill>
                </w14:textFill>
              </w:rPr>
              <w:t>由</w:t>
            </w:r>
            <w:r>
              <w:rPr>
                <w:rFonts w:hint="eastAsia" w:ascii="Times New Roman" w:hAnsi="Times New Roman" w:cs="Times New Roman"/>
                <w:color w:val="000000" w:themeColor="text1"/>
                <w:sz w:val="24"/>
                <w:szCs w:val="24"/>
                <w:highlight w:val="none"/>
                <w:shd w:val="clear" w:color="auto" w:fill="auto"/>
                <w:lang w:val="en-US" w:eastAsia="zh-CN"/>
                <w14:textFill>
                  <w14:solidFill>
                    <w14:schemeClr w14:val="tx1"/>
                  </w14:solidFill>
                </w14:textFill>
              </w:rPr>
              <w:t>黑龙江汇川检测有限公司</w:t>
            </w:r>
            <w:r>
              <w:rPr>
                <w:rFonts w:hint="eastAsia"/>
                <w:color w:val="000000" w:themeColor="text1"/>
                <w:kern w:val="0"/>
                <w:sz w:val="24"/>
                <w:szCs w:val="24"/>
                <w14:textFill>
                  <w14:solidFill>
                    <w14:schemeClr w14:val="tx1"/>
                  </w14:solidFill>
                </w14:textFill>
              </w:rPr>
              <w:t>于</w:t>
            </w:r>
            <w:r>
              <w:rPr>
                <w:color w:val="000000" w:themeColor="text1"/>
                <w:sz w:val="24"/>
                <w:szCs w:val="24"/>
                <w14:textFill>
                  <w14:solidFill>
                    <w14:schemeClr w14:val="tx1"/>
                  </w14:solidFill>
                </w14:textFill>
              </w:rPr>
              <w:t>20</w:t>
            </w:r>
            <w:r>
              <w:rPr>
                <w:rFonts w:hint="eastAsia"/>
                <w:color w:val="000000" w:themeColor="text1"/>
                <w:sz w:val="24"/>
                <w:szCs w:val="24"/>
                <w:lang w:val="en-US" w:eastAsia="zh-CN"/>
                <w14:textFill>
                  <w14:solidFill>
                    <w14:schemeClr w14:val="tx1"/>
                  </w14:solidFill>
                </w14:textFill>
              </w:rPr>
              <w:t>25</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月</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日</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日</w:t>
            </w:r>
            <w:r>
              <w:rPr>
                <w:rFonts w:hint="eastAsia"/>
                <w:color w:val="000000" w:themeColor="text1"/>
                <w:kern w:val="0"/>
                <w:sz w:val="24"/>
                <w:szCs w:val="24"/>
                <w14:textFill>
                  <w14:solidFill>
                    <w14:schemeClr w14:val="tx1"/>
                  </w14:solidFill>
                </w14:textFill>
              </w:rPr>
              <w:t>对项目所在区域进行监测</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14:textFill>
                  <w14:solidFill>
                    <w14:schemeClr w14:val="tx1"/>
                  </w14:solidFill>
                </w14:textFill>
              </w:rPr>
              <w:t>在</w:t>
            </w:r>
            <w:r>
              <w:rPr>
                <w:rFonts w:hint="eastAsia"/>
                <w:color w:val="000000" w:themeColor="text1"/>
                <w:kern w:val="0"/>
                <w:sz w:val="24"/>
                <w:szCs w:val="24"/>
                <w:lang w:val="en-US" w:eastAsia="zh-CN"/>
                <w14:textFill>
                  <w14:solidFill>
                    <w14:schemeClr w14:val="tx1"/>
                  </w14:solidFill>
                </w14:textFill>
              </w:rPr>
              <w:t>项目东南侧180m处</w:t>
            </w:r>
            <w:r>
              <w:rPr>
                <w:rFonts w:hint="eastAsia"/>
                <w:color w:val="000000" w:themeColor="text1"/>
                <w:kern w:val="0"/>
                <w:sz w:val="24"/>
                <w:szCs w:val="24"/>
                <w14:textFill>
                  <w14:solidFill>
                    <w14:schemeClr w14:val="tx1"/>
                  </w14:solidFill>
                </w14:textFill>
              </w:rPr>
              <w:t>布设</w:t>
            </w:r>
            <w:r>
              <w:rPr>
                <w:rFonts w:hint="eastAsia"/>
                <w:color w:val="000000" w:themeColor="text1"/>
                <w:kern w:val="0"/>
                <w:sz w:val="24"/>
                <w:szCs w:val="24"/>
                <w:lang w:val="en-US" w:eastAsia="zh-CN"/>
                <w14:textFill>
                  <w14:solidFill>
                    <w14:schemeClr w14:val="tx1"/>
                  </w14:solidFill>
                </w14:textFill>
              </w:rPr>
              <w:t>1</w:t>
            </w:r>
            <w:r>
              <w:rPr>
                <w:rFonts w:hint="eastAsia"/>
                <w:color w:val="000000" w:themeColor="text1"/>
                <w:kern w:val="0"/>
                <w:sz w:val="24"/>
                <w:szCs w:val="24"/>
                <w14:textFill>
                  <w14:solidFill>
                    <w14:schemeClr w14:val="tx1"/>
                  </w14:solidFill>
                </w14:textFill>
              </w:rPr>
              <w:t>个</w:t>
            </w:r>
            <w:r>
              <w:rPr>
                <w:rFonts w:hint="eastAsia"/>
                <w:color w:val="000000" w:themeColor="text1"/>
                <w:kern w:val="0"/>
                <w:sz w:val="24"/>
                <w:szCs w:val="24"/>
                <w:lang w:val="en-US" w:eastAsia="zh-CN"/>
                <w14:textFill>
                  <w14:solidFill>
                    <w14:schemeClr w14:val="tx1"/>
                  </w14:solidFill>
                </w14:textFill>
              </w:rPr>
              <w:t>监测</w:t>
            </w:r>
            <w:r>
              <w:rPr>
                <w:rFonts w:hint="eastAsia"/>
                <w:color w:val="000000" w:themeColor="text1"/>
                <w:kern w:val="0"/>
                <w:sz w:val="24"/>
                <w:szCs w:val="24"/>
                <w14:textFill>
                  <w14:solidFill>
                    <w14:schemeClr w14:val="tx1"/>
                  </w14:solidFill>
                </w14:textFill>
              </w:rPr>
              <w:t>点位</w:t>
            </w:r>
            <w:r>
              <w:rPr>
                <w:rFonts w:hint="eastAsia"/>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监测点位置具体见表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和图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-1。</w:t>
            </w:r>
          </w:p>
          <w:p>
            <w:pPr>
              <w:pStyle w:val="2"/>
              <w:jc w:val="center"/>
              <w:rPr>
                <w:rFonts w:ascii="Times New Roman" w:hAnsi="Times New Roman" w:cs="Times New Roman"/>
                <w:color w:val="000000" w:themeColor="text1"/>
                <w14:textFill>
                  <w14:solidFill>
                    <w14:schemeClr w14:val="tx1"/>
                  </w14:solidFill>
                </w14:textFill>
              </w:rPr>
            </w:pPr>
            <w:r>
              <w:drawing>
                <wp:inline distT="0" distB="0" distL="114300" distR="114300">
                  <wp:extent cx="3413125" cy="2611120"/>
                  <wp:effectExtent l="0" t="0" r="3175" b="50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3413125" cy="2611120"/>
                          </a:xfrm>
                          <a:prstGeom prst="rect">
                            <a:avLst/>
                          </a:prstGeom>
                          <a:noFill/>
                          <a:ln>
                            <a:noFill/>
                          </a:ln>
                        </pic:spPr>
                      </pic:pic>
                    </a:graphicData>
                  </a:graphic>
                </wp:inline>
              </w:drawing>
            </w:r>
          </w:p>
          <w:p>
            <w:pPr>
              <w:pStyle w:val="117"/>
              <w:adjustRightInd/>
              <w:snapToGrid/>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图3-1 监测点位示意图</w:t>
            </w:r>
          </w:p>
          <w:p>
            <w:pPr>
              <w:pStyle w:val="117"/>
              <w:adjustRightInd/>
              <w:snapToGrid/>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表3-2 项目环境空气现状监测布点一览表</w:t>
            </w:r>
          </w:p>
          <w:tbl>
            <w:tblPr>
              <w:tblStyle w:val="37"/>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424"/>
              <w:gridCol w:w="1319"/>
              <w:gridCol w:w="866"/>
              <w:gridCol w:w="2021"/>
              <w:gridCol w:w="888"/>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0" w:type="dxa"/>
                  <w:vMerge w:val="restart"/>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监测点名称</w:t>
                  </w:r>
                </w:p>
              </w:tc>
              <w:tc>
                <w:tcPr>
                  <w:tcW w:w="2743" w:type="dxa"/>
                  <w:gridSpan w:val="2"/>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坐标</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tc>
              <w:tc>
                <w:tcPr>
                  <w:tcW w:w="866" w:type="dxa"/>
                  <w:vMerge w:val="restart"/>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w:t>
                  </w:r>
                </w:p>
              </w:tc>
              <w:tc>
                <w:tcPr>
                  <w:tcW w:w="2021" w:type="dxa"/>
                  <w:vMerge w:val="restart"/>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监测时段</w:t>
                  </w:r>
                </w:p>
              </w:tc>
              <w:tc>
                <w:tcPr>
                  <w:tcW w:w="888" w:type="dxa"/>
                  <w:vMerge w:val="restart"/>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相对厂址方位</w:t>
                  </w:r>
                </w:p>
              </w:tc>
              <w:tc>
                <w:tcPr>
                  <w:tcW w:w="1076" w:type="dxa"/>
                  <w:vMerge w:val="restart"/>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相对厂界距离（m）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910" w:type="dxa"/>
                  <w:vMerge w:val="continue"/>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p>
              </w:tc>
              <w:tc>
                <w:tcPr>
                  <w:tcW w:w="1424" w:type="dxa"/>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经度</w:t>
                  </w:r>
                </w:p>
              </w:tc>
              <w:tc>
                <w:tcPr>
                  <w:tcW w:w="1319" w:type="dxa"/>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纬度</w:t>
                  </w:r>
                </w:p>
              </w:tc>
              <w:tc>
                <w:tcPr>
                  <w:tcW w:w="866" w:type="dxa"/>
                  <w:vMerge w:val="continue"/>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p>
              </w:tc>
              <w:tc>
                <w:tcPr>
                  <w:tcW w:w="2021" w:type="dxa"/>
                  <w:vMerge w:val="continue"/>
                  <w:vAlign w:val="center"/>
                </w:tcPr>
                <w:p>
                  <w:pPr>
                    <w:pStyle w:val="2"/>
                    <w:spacing w:line="240" w:lineRule="auto"/>
                    <w:rPr>
                      <w:rFonts w:ascii="Times New Roman" w:hAnsi="Times New Roman" w:cs="Times New Roman"/>
                      <w:color w:val="000000" w:themeColor="text1"/>
                      <w:sz w:val="21"/>
                      <w:szCs w:val="21"/>
                      <w:highlight w:val="yellow"/>
                      <w14:textFill>
                        <w14:solidFill>
                          <w14:schemeClr w14:val="tx1"/>
                        </w14:solidFill>
                      </w14:textFill>
                    </w:rPr>
                  </w:pPr>
                </w:p>
              </w:tc>
              <w:tc>
                <w:tcPr>
                  <w:tcW w:w="888" w:type="dxa"/>
                  <w:vMerge w:val="continue"/>
                  <w:vAlign w:val="center"/>
                </w:tcPr>
                <w:p>
                  <w:pPr>
                    <w:pStyle w:val="2"/>
                    <w:spacing w:line="240" w:lineRule="auto"/>
                    <w:rPr>
                      <w:rFonts w:ascii="Times New Roman" w:hAnsi="Times New Roman" w:cs="Times New Roman"/>
                      <w:color w:val="000000" w:themeColor="text1"/>
                      <w:sz w:val="21"/>
                      <w:szCs w:val="21"/>
                      <w:highlight w:val="yellow"/>
                      <w14:textFill>
                        <w14:solidFill>
                          <w14:schemeClr w14:val="tx1"/>
                        </w14:solidFill>
                      </w14:textFill>
                    </w:rPr>
                  </w:pPr>
                </w:p>
              </w:tc>
              <w:tc>
                <w:tcPr>
                  <w:tcW w:w="1076" w:type="dxa"/>
                  <w:vMerge w:val="continue"/>
                  <w:vAlign w:val="center"/>
                </w:tcPr>
                <w:p>
                  <w:pPr>
                    <w:pStyle w:val="2"/>
                    <w:spacing w:line="240" w:lineRule="auto"/>
                    <w:rPr>
                      <w:rFonts w:ascii="Times New Roman" w:hAnsi="Times New Roman" w:cs="Times New Roman"/>
                      <w:color w:val="000000" w:themeColor="text1"/>
                      <w:sz w:val="21"/>
                      <w:szCs w:val="21"/>
                      <w:highlight w:val="yellow"/>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0" w:type="dxa"/>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厂址</w:t>
                  </w:r>
                  <w:r>
                    <w:rPr>
                      <w:rFonts w:hint="eastAsia"/>
                      <w:color w:val="000000" w:themeColor="text1"/>
                      <w:szCs w:val="21"/>
                      <w:lang w:val="en-US" w:eastAsia="zh-CN"/>
                      <w14:textFill>
                        <w14:solidFill>
                          <w14:schemeClr w14:val="tx1"/>
                        </w14:solidFill>
                      </w14:textFill>
                    </w:rPr>
                    <w:t>下</w:t>
                  </w:r>
                  <w:r>
                    <w:rPr>
                      <w:color w:val="000000" w:themeColor="text1"/>
                      <w:szCs w:val="21"/>
                      <w14:textFill>
                        <w14:solidFill>
                          <w14:schemeClr w14:val="tx1"/>
                        </w14:solidFill>
                      </w14:textFill>
                    </w:rPr>
                    <w:t>风向</w:t>
                  </w:r>
                  <w:r>
                    <w:rPr>
                      <w:rFonts w:hint="eastAsia"/>
                      <w:color w:val="000000" w:themeColor="text1"/>
                      <w:szCs w:val="21"/>
                      <w:lang w:val="en-US" w:eastAsia="zh-CN"/>
                      <w14:textFill>
                        <w14:solidFill>
                          <w14:schemeClr w14:val="tx1"/>
                        </w14:solidFill>
                      </w14:textFill>
                    </w:rPr>
                    <w:t>G1</w:t>
                  </w:r>
                </w:p>
              </w:tc>
              <w:tc>
                <w:tcPr>
                  <w:tcW w:w="1424" w:type="dxa"/>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129.76442316</w:t>
                  </w:r>
                </w:p>
              </w:tc>
              <w:tc>
                <w:tcPr>
                  <w:tcW w:w="1319" w:type="dxa"/>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49.18288491</w:t>
                  </w:r>
                </w:p>
              </w:tc>
              <w:tc>
                <w:tcPr>
                  <w:tcW w:w="866" w:type="dxa"/>
                  <w:tcBorders>
                    <w:top w:val="single" w:color="000000" w:sz="8" w:space="0"/>
                  </w:tcBorders>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w:t>
                  </w:r>
                </w:p>
              </w:tc>
              <w:tc>
                <w:tcPr>
                  <w:tcW w:w="2021" w:type="dxa"/>
                  <w:tcBorders>
                    <w:top w:val="single" w:color="000000" w:sz="8" w:space="0"/>
                    <w:bottom w:val="single" w:color="000000" w:sz="8" w:space="0"/>
                  </w:tcBorders>
                  <w:vAlign w:val="center"/>
                </w:tcPr>
                <w:p>
                  <w:pPr>
                    <w:pStyle w:val="2"/>
                    <w:spacing w:line="240" w:lineRule="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202</w:t>
                  </w:r>
                  <w:r>
                    <w:rPr>
                      <w:rFonts w:hint="eastAsia" w:ascii="Times New Roman" w:cs="Times New Roman"/>
                      <w:color w:val="000000" w:themeColor="text1"/>
                      <w:sz w:val="21"/>
                      <w:szCs w:val="21"/>
                      <w:lang w:val="en-US" w:eastAsia="zh-CN"/>
                      <w14:textFill>
                        <w14:solidFill>
                          <w14:schemeClr w14:val="tx1"/>
                        </w14:solidFill>
                      </w14:textFill>
                    </w:rPr>
                    <w:t>5</w:t>
                  </w:r>
                  <w:r>
                    <w:rPr>
                      <w:rFonts w:hint="eastAsia" w:ascii="Times New Roman" w:cs="Times New Roman"/>
                      <w:color w:val="000000" w:themeColor="text1"/>
                      <w:sz w:val="21"/>
                      <w:szCs w:val="21"/>
                      <w14:textFill>
                        <w14:solidFill>
                          <w14:schemeClr w14:val="tx1"/>
                        </w14:solidFill>
                      </w14:textFill>
                    </w:rPr>
                    <w:t>.</w:t>
                  </w:r>
                  <w:r>
                    <w:rPr>
                      <w:rFonts w:hint="eastAsia" w:ascii="Times New Roman" w:cs="Times New Roman"/>
                      <w:color w:val="000000" w:themeColor="text1"/>
                      <w:sz w:val="21"/>
                      <w:szCs w:val="21"/>
                      <w:lang w:val="en-US" w:eastAsia="zh-CN"/>
                      <w14:textFill>
                        <w14:solidFill>
                          <w14:schemeClr w14:val="tx1"/>
                        </w14:solidFill>
                      </w14:textFill>
                    </w:rPr>
                    <w:t>5</w:t>
                  </w:r>
                  <w:r>
                    <w:rPr>
                      <w:rFonts w:hint="eastAsia" w:ascii="Times New Roman" w:cs="Times New Roman"/>
                      <w:color w:val="000000" w:themeColor="text1"/>
                      <w:sz w:val="21"/>
                      <w:szCs w:val="21"/>
                      <w14:textFill>
                        <w14:solidFill>
                          <w14:schemeClr w14:val="tx1"/>
                        </w14:solidFill>
                      </w14:textFill>
                    </w:rPr>
                    <w:t>.</w:t>
                  </w:r>
                  <w:r>
                    <w:rPr>
                      <w:rFonts w:hint="eastAsia" w:ascii="Times New Roman" w:cs="Times New Roman"/>
                      <w:color w:val="000000" w:themeColor="text1"/>
                      <w:sz w:val="21"/>
                      <w:szCs w:val="21"/>
                      <w:lang w:val="en-US" w:eastAsia="zh-CN"/>
                      <w14:textFill>
                        <w14:solidFill>
                          <w14:schemeClr w14:val="tx1"/>
                        </w14:solidFill>
                      </w14:textFill>
                    </w:rPr>
                    <w:t>7-</w:t>
                  </w:r>
                  <w:r>
                    <w:rPr>
                      <w:rFonts w:ascii="Times New Roman" w:hAnsi="Times New Roman" w:cs="Times New Roman"/>
                      <w:color w:val="000000" w:themeColor="text1"/>
                      <w:sz w:val="21"/>
                      <w:szCs w:val="21"/>
                      <w14:textFill>
                        <w14:solidFill>
                          <w14:schemeClr w14:val="tx1"/>
                        </w14:solidFill>
                      </w14:textFill>
                    </w:rPr>
                    <w:t>202</w:t>
                  </w:r>
                  <w:r>
                    <w:rPr>
                      <w:rFonts w:hint="eastAsia" w:ascii="Times New Roman" w:cs="Times New Roman"/>
                      <w:color w:val="000000" w:themeColor="text1"/>
                      <w:sz w:val="21"/>
                      <w:szCs w:val="21"/>
                      <w:lang w:val="en-US" w:eastAsia="zh-CN"/>
                      <w14:textFill>
                        <w14:solidFill>
                          <w14:schemeClr w14:val="tx1"/>
                        </w14:solidFill>
                      </w14:textFill>
                    </w:rPr>
                    <w:t>5</w:t>
                  </w:r>
                  <w:r>
                    <w:rPr>
                      <w:rFonts w:hint="eastAsia" w:ascii="Times New Roman" w:cs="Times New Roman"/>
                      <w:color w:val="000000" w:themeColor="text1"/>
                      <w:sz w:val="21"/>
                      <w:szCs w:val="21"/>
                      <w14:textFill>
                        <w14:solidFill>
                          <w14:schemeClr w14:val="tx1"/>
                        </w14:solidFill>
                      </w14:textFill>
                    </w:rPr>
                    <w:t>.</w:t>
                  </w:r>
                  <w:r>
                    <w:rPr>
                      <w:rFonts w:hint="eastAsia" w:ascii="Times New Roman" w:cs="Times New Roman"/>
                      <w:color w:val="000000" w:themeColor="text1"/>
                      <w:sz w:val="21"/>
                      <w:szCs w:val="21"/>
                      <w:lang w:val="en-US" w:eastAsia="zh-CN"/>
                      <w14:textFill>
                        <w14:solidFill>
                          <w14:schemeClr w14:val="tx1"/>
                        </w14:solidFill>
                      </w14:textFill>
                    </w:rPr>
                    <w:t>5</w:t>
                  </w:r>
                  <w:r>
                    <w:rPr>
                      <w:rFonts w:hint="eastAsia" w:ascii="Times New Roman" w:cs="Times New Roman"/>
                      <w:color w:val="000000" w:themeColor="text1"/>
                      <w:sz w:val="21"/>
                      <w:szCs w:val="21"/>
                      <w14:textFill>
                        <w14:solidFill>
                          <w14:schemeClr w14:val="tx1"/>
                        </w14:solidFill>
                      </w14:textFill>
                    </w:rPr>
                    <w:t>.</w:t>
                  </w:r>
                  <w:r>
                    <w:rPr>
                      <w:rFonts w:hint="eastAsia" w:ascii="Times New Roman" w:cs="Times New Roman"/>
                      <w:color w:val="000000" w:themeColor="text1"/>
                      <w:sz w:val="21"/>
                      <w:szCs w:val="21"/>
                      <w:lang w:val="en-US" w:eastAsia="zh-CN"/>
                      <w14:textFill>
                        <w14:solidFill>
                          <w14:schemeClr w14:val="tx1"/>
                        </w14:solidFill>
                      </w14:textFill>
                    </w:rPr>
                    <w:t>9</w:t>
                  </w:r>
                </w:p>
              </w:tc>
              <w:tc>
                <w:tcPr>
                  <w:tcW w:w="888" w:type="dxa"/>
                  <w:vAlign w:val="center"/>
                </w:tcPr>
                <w:p>
                  <w:pPr>
                    <w:pStyle w:val="2"/>
                    <w:spacing w:line="240" w:lineRule="auto"/>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东南</w:t>
                  </w:r>
                </w:p>
              </w:tc>
              <w:tc>
                <w:tcPr>
                  <w:tcW w:w="1076" w:type="dxa"/>
                  <w:vAlign w:val="center"/>
                </w:tcPr>
                <w:p>
                  <w:pPr>
                    <w:pStyle w:val="2"/>
                    <w:spacing w:line="240" w:lineRule="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180</w:t>
                  </w:r>
                </w:p>
              </w:tc>
            </w:tr>
          </w:tbl>
          <w:p>
            <w:pPr>
              <w:pStyle w:val="117"/>
              <w:adjustRightInd/>
              <w:snapToGrid/>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表3-3其他污染物环境质量现状监测结果表</w:t>
            </w:r>
          </w:p>
          <w:tbl>
            <w:tblPr>
              <w:tblStyle w:val="3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900"/>
              <w:gridCol w:w="936"/>
              <w:gridCol w:w="1025"/>
              <w:gridCol w:w="1005"/>
              <w:gridCol w:w="1012"/>
              <w:gridCol w:w="1084"/>
              <w:gridCol w:w="748"/>
              <w:gridCol w:w="549"/>
              <w:gridCol w:w="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523" w:hRule="atLeast"/>
                <w:jc w:val="center"/>
              </w:trPr>
              <w:tc>
                <w:tcPr>
                  <w:tcW w:w="699" w:type="dxa"/>
                  <w:vMerge w:val="restart"/>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w:t>
                  </w:r>
                </w:p>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点位</w:t>
                  </w:r>
                </w:p>
              </w:tc>
              <w:tc>
                <w:tcPr>
                  <w:tcW w:w="1836" w:type="dxa"/>
                  <w:gridSpan w:val="2"/>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坐标</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tc>
              <w:tc>
                <w:tcPr>
                  <w:tcW w:w="1025" w:type="dxa"/>
                  <w:vMerge w:val="restart"/>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005" w:type="dxa"/>
                  <w:vMerge w:val="restart"/>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评价时间</w:t>
                  </w:r>
                </w:p>
              </w:tc>
              <w:tc>
                <w:tcPr>
                  <w:tcW w:w="1012" w:type="dxa"/>
                  <w:vMerge w:val="restart"/>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评价标准/(mg/m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084" w:type="dxa"/>
                  <w:vMerge w:val="restart"/>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监测浓度范围</w:t>
                  </w:r>
                </w:p>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748" w:type="dxa"/>
                  <w:vMerge w:val="restart"/>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最大浓度占标率/%</w:t>
                  </w:r>
                </w:p>
              </w:tc>
              <w:tc>
                <w:tcPr>
                  <w:tcW w:w="549" w:type="dxa"/>
                  <w:vMerge w:val="restart"/>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超标率/%</w:t>
                  </w:r>
                </w:p>
              </w:tc>
              <w:tc>
                <w:tcPr>
                  <w:tcW w:w="546" w:type="dxa"/>
                  <w:vMerge w:val="restart"/>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699" w:type="dxa"/>
                  <w:vMerge w:val="continue"/>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p>
              </w:tc>
              <w:tc>
                <w:tcPr>
                  <w:tcW w:w="900"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经度</w:t>
                  </w:r>
                </w:p>
              </w:tc>
              <w:tc>
                <w:tcPr>
                  <w:tcW w:w="936"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纬度</w:t>
                  </w:r>
                </w:p>
              </w:tc>
              <w:tc>
                <w:tcPr>
                  <w:tcW w:w="1025" w:type="dxa"/>
                  <w:vMerge w:val="continue"/>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p>
              </w:tc>
              <w:tc>
                <w:tcPr>
                  <w:tcW w:w="1005" w:type="dxa"/>
                  <w:vMerge w:val="continue"/>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p>
              </w:tc>
              <w:tc>
                <w:tcPr>
                  <w:tcW w:w="1012" w:type="dxa"/>
                  <w:vMerge w:val="continue"/>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p>
              </w:tc>
              <w:tc>
                <w:tcPr>
                  <w:tcW w:w="1084" w:type="dxa"/>
                  <w:vMerge w:val="continue"/>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p>
              </w:tc>
              <w:tc>
                <w:tcPr>
                  <w:tcW w:w="748" w:type="dxa"/>
                  <w:vMerge w:val="continue"/>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p>
              </w:tc>
              <w:tc>
                <w:tcPr>
                  <w:tcW w:w="549" w:type="dxa"/>
                  <w:vMerge w:val="continue"/>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p>
              </w:tc>
              <w:tc>
                <w:tcPr>
                  <w:tcW w:w="546" w:type="dxa"/>
                  <w:vMerge w:val="continue"/>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699" w:type="dxa"/>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厂址</w:t>
                  </w:r>
                  <w:r>
                    <w:rPr>
                      <w:rFonts w:hint="eastAsia"/>
                      <w:color w:val="000000" w:themeColor="text1"/>
                      <w:szCs w:val="21"/>
                      <w:lang w:val="en-US" w:eastAsia="zh-CN"/>
                      <w14:textFill>
                        <w14:solidFill>
                          <w14:schemeClr w14:val="tx1"/>
                        </w14:solidFill>
                      </w14:textFill>
                    </w:rPr>
                    <w:t>下</w:t>
                  </w:r>
                  <w:r>
                    <w:rPr>
                      <w:color w:val="000000" w:themeColor="text1"/>
                      <w:szCs w:val="21"/>
                      <w14:textFill>
                        <w14:solidFill>
                          <w14:schemeClr w14:val="tx1"/>
                        </w14:solidFill>
                      </w14:textFill>
                    </w:rPr>
                    <w:t>风向</w:t>
                  </w:r>
                  <w:r>
                    <w:rPr>
                      <w:rFonts w:hint="eastAsia"/>
                      <w:color w:val="000000" w:themeColor="text1"/>
                      <w:szCs w:val="21"/>
                      <w:lang w:val="en-US" w:eastAsia="zh-CN"/>
                      <w14:textFill>
                        <w14:solidFill>
                          <w14:schemeClr w14:val="tx1"/>
                        </w14:solidFill>
                      </w14:textFill>
                    </w:rPr>
                    <w:t>G1</w:t>
                  </w:r>
                </w:p>
              </w:tc>
              <w:tc>
                <w:tcPr>
                  <w:tcW w:w="90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129.76442316</w:t>
                  </w:r>
                </w:p>
              </w:tc>
              <w:tc>
                <w:tcPr>
                  <w:tcW w:w="936" w:type="dxa"/>
                  <w:tcBorders>
                    <w:tl2br w:val="nil"/>
                    <w:tr2bl w:val="nil"/>
                  </w:tcBorders>
                  <w:vAlign w:val="center"/>
                </w:tcPr>
                <w:p>
                  <w:pPr>
                    <w:jc w:val="center"/>
                    <w:rPr>
                      <w:color w:val="000000" w:themeColor="text1"/>
                      <w:szCs w:val="21"/>
                      <w:highlight w:val="yellow"/>
                      <w14:textFill>
                        <w14:solidFill>
                          <w14:schemeClr w14:val="tx1"/>
                        </w14:solidFill>
                      </w14:textFill>
                    </w:rPr>
                  </w:pPr>
                  <w:r>
                    <w:rPr>
                      <w:rFonts w:hint="eastAsia"/>
                      <w:color w:val="000000" w:themeColor="text1"/>
                      <w14:textFill>
                        <w14:solidFill>
                          <w14:schemeClr w14:val="tx1"/>
                        </w14:solidFill>
                      </w14:textFill>
                    </w:rPr>
                    <w:t>49.18288491</w:t>
                  </w:r>
                </w:p>
              </w:tc>
              <w:tc>
                <w:tcPr>
                  <w:tcW w:w="1025"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005" w:type="dxa"/>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24</w:t>
                  </w:r>
                  <w:r>
                    <w:rPr>
                      <w:color w:val="000000" w:themeColor="text1"/>
                      <w:kern w:val="0"/>
                      <w:szCs w:val="21"/>
                      <w14:textFill>
                        <w14:solidFill>
                          <w14:schemeClr w14:val="tx1"/>
                        </w14:solidFill>
                      </w14:textFill>
                    </w:rPr>
                    <w:t>小时平均值</w:t>
                  </w:r>
                </w:p>
              </w:tc>
              <w:tc>
                <w:tcPr>
                  <w:tcW w:w="1012" w:type="dxa"/>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w:t>
                  </w:r>
                </w:p>
              </w:tc>
              <w:tc>
                <w:tcPr>
                  <w:tcW w:w="1084" w:type="dxa"/>
                  <w:tcBorders>
                    <w:tl2br w:val="nil"/>
                    <w:tr2bl w:val="nil"/>
                  </w:tcBorders>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0.109-0.118</w:t>
                  </w:r>
                </w:p>
              </w:tc>
              <w:tc>
                <w:tcPr>
                  <w:tcW w:w="748" w:type="dxa"/>
                  <w:tcBorders>
                    <w:tl2br w:val="nil"/>
                    <w:tr2bl w:val="nil"/>
                  </w:tcBorders>
                  <w:vAlign w:val="center"/>
                </w:tcPr>
                <w:p>
                  <w:pPr>
                    <w:autoSpaceDE w:val="0"/>
                    <w:autoSpaceDN w:val="0"/>
                    <w:adjustRightIn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39.33</w:t>
                  </w:r>
                </w:p>
              </w:tc>
              <w:tc>
                <w:tcPr>
                  <w:tcW w:w="549" w:type="dxa"/>
                  <w:tcBorders>
                    <w:tl2br w:val="nil"/>
                    <w:tr2bl w:val="nil"/>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546" w:type="dxa"/>
                  <w:tcBorders>
                    <w:tl2br w:val="nil"/>
                    <w:tr2bl w:val="nil"/>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pPr>
              <w:pStyle w:val="119"/>
              <w:tabs>
                <w:tab w:val="left" w:pos="0"/>
              </w:tabs>
              <w:spacing w:line="360" w:lineRule="auto"/>
              <w:ind w:left="0" w:leftChars="0" w:firstLineChars="200"/>
              <w:jc w:val="left"/>
              <w:rPr>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可知，本项目所在区域在监测时段内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，总悬浮颗粒物</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监测结果无超标现象，达到了《环境空气质量标准》（GB3095-2012）二级标准要求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2、地表水环境质量现状</w:t>
            </w:r>
          </w:p>
          <w:p>
            <w:pPr>
              <w:spacing w:line="360" w:lineRule="auto"/>
              <w:ind w:firstLine="480" w:firstLineChars="200"/>
              <w:rPr>
                <w:color w:val="000000" w:themeColor="text1"/>
                <w:kern w:val="0"/>
                <w:sz w:val="24"/>
                <w:highlight w:val="yellow"/>
                <w:u w:color="000000"/>
                <w14:textFill>
                  <w14:solidFill>
                    <w14:schemeClr w14:val="tx1"/>
                  </w14:solidFill>
                </w14:textFill>
              </w:rPr>
            </w:pPr>
            <w:r>
              <w:rPr>
                <w:rFonts w:hint="default" w:ascii="Times New Roman" w:hAnsi="Times New Roman" w:eastAsia="宋体" w:cs="Times New Roman"/>
                <w:color w:val="auto"/>
                <w:kern w:val="0"/>
                <w:sz w:val="24"/>
                <w:szCs w:val="24"/>
                <w:highlight w:val="none"/>
                <w:lang w:val="en-US" w:eastAsia="zh-CN"/>
              </w:rPr>
              <w:t>根据《2025年黑龙江省生态环境质量状况》，伊春市参与国家考核计算的断面共11个，Ⅰ~Ⅲ类水质比例为63.6%，无劣V类水质断面。与上年同期相比，Ⅰ~Ⅲ类水质比例上升9.1个百分点，均无劣V类水质断面。伊春市饮用水水源地扣除自然本底因素影响后水量达标率为100%。</w:t>
            </w: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乌拉嘎河</w:t>
            </w:r>
            <w:r>
              <w:rPr>
                <w:rFonts w:hint="eastAsia" w:ascii="Times New Roman" w:hAnsi="Times New Roman" w:eastAsia="宋体" w:cs="Times New Roman"/>
                <w:color w:val="auto"/>
                <w:kern w:val="0"/>
                <w:sz w:val="24"/>
                <w:szCs w:val="24"/>
                <w:highlight w:val="none"/>
                <w:u w:val="none" w:color="000000"/>
                <w:lang w:val="en-US" w:eastAsia="zh-CN" w:bidi="ar-SA"/>
              </w:rPr>
              <w:t>，属于黑龙江</w:t>
            </w:r>
            <w:r>
              <w:rPr>
                <w:rFonts w:hint="eastAsia" w:cs="Times New Roman"/>
                <w:color w:val="auto"/>
                <w:kern w:val="0"/>
                <w:sz w:val="24"/>
                <w:szCs w:val="24"/>
                <w:highlight w:val="none"/>
                <w:u w:val="none" w:color="000000"/>
                <w:lang w:val="en-US" w:eastAsia="zh-CN" w:bidi="ar-SA"/>
              </w:rPr>
              <w:t>支</w:t>
            </w:r>
            <w:r>
              <w:rPr>
                <w:rFonts w:hint="eastAsia" w:ascii="Times New Roman" w:hAnsi="Times New Roman" w:eastAsia="宋体" w:cs="Times New Roman"/>
                <w:color w:val="auto"/>
                <w:kern w:val="0"/>
                <w:sz w:val="24"/>
                <w:szCs w:val="24"/>
                <w:highlight w:val="none"/>
                <w:u w:val="none" w:color="000000"/>
                <w:lang w:val="en-US" w:eastAsia="zh-CN" w:bidi="ar-SA"/>
              </w:rPr>
              <w:t>流</w:t>
            </w:r>
            <w:r>
              <w:rPr>
                <w:rFonts w:hint="default" w:ascii="Times New Roman" w:hAnsi="Times New Roman" w:eastAsia="宋体" w:cs="Times New Roman"/>
                <w:color w:val="auto"/>
                <w:kern w:val="0"/>
                <w:sz w:val="24"/>
                <w:szCs w:val="24"/>
                <w:highlight w:val="none"/>
                <w:u w:val="none" w:color="000000"/>
                <w:lang w:val="en-US" w:eastAsia="zh-CN" w:bidi="ar-SA"/>
              </w:rPr>
              <w:t>，本项目附近地表水体属于黑龙江干流嘉荫断面，</w:t>
            </w:r>
            <w:r>
              <w:rPr>
                <w:rFonts w:hint="default" w:ascii="Times New Roman" w:hAnsi="Times New Roman" w:eastAsia="宋体" w:cs="Times New Roman"/>
                <w:color w:val="auto"/>
                <w:kern w:val="0"/>
                <w:sz w:val="24"/>
                <w:szCs w:val="24"/>
                <w:highlight w:val="none"/>
                <w:lang w:val="en-US" w:eastAsia="zh-CN"/>
              </w:rPr>
              <w:t>根据《2025年黑龙江省生态环境质量状况》，</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黑龙江干流嘉荫断面为</w:t>
            </w:r>
            <w:r>
              <w:rPr>
                <w:rFonts w:hint="default" w:ascii="Times New Roman" w:hAnsi="Times New Roman" w:cs="Times New Roman"/>
                <w:color w:val="auto"/>
                <w:kern w:val="0"/>
                <w:sz w:val="24"/>
                <w:szCs w:val="24"/>
                <w:highlight w:val="none"/>
                <w:u w:val="none" w:color="000000"/>
                <w:lang w:val="en-US" w:eastAsia="zh-CN" w:bidi="ar-SA"/>
              </w:rPr>
              <w:t>Ⅴ</w:t>
            </w:r>
            <w:r>
              <w:rPr>
                <w:rFonts w:hint="default" w:ascii="Times New Roman" w:hAnsi="Times New Roman" w:eastAsia="宋体" w:cs="Times New Roman"/>
                <w:color w:val="auto"/>
                <w:kern w:val="0"/>
                <w:sz w:val="24"/>
                <w:szCs w:val="24"/>
                <w:highlight w:val="none"/>
                <w:u w:val="none" w:color="000000"/>
                <w:lang w:val="en-US" w:eastAsia="zh-CN" w:bidi="ar-SA"/>
              </w:rPr>
              <w:t>类水体</w:t>
            </w:r>
            <w:r>
              <w:rPr>
                <w:rFonts w:hint="eastAsia" w:cs="Times New Roman"/>
                <w:color w:val="auto"/>
                <w:kern w:val="0"/>
                <w:sz w:val="24"/>
                <w:szCs w:val="24"/>
                <w:highlight w:val="none"/>
                <w:u w:val="none" w:color="000000"/>
                <w:lang w:val="en-US" w:eastAsia="zh-CN" w:bidi="ar-SA"/>
              </w:rPr>
              <w:t>，超标因子为化学需氧量和高锰酸盐指数，</w:t>
            </w:r>
            <w:r>
              <w:rPr>
                <w:rFonts w:hint="default" w:ascii="Times New Roman" w:hAnsi="Times New Roman" w:eastAsia="宋体" w:cs="Times New Roman"/>
                <w:color w:val="auto"/>
                <w:kern w:val="0"/>
                <w:sz w:val="24"/>
                <w:szCs w:val="24"/>
                <w:highlight w:val="none"/>
                <w:u w:val="none" w:color="000000"/>
                <w:lang w:val="en-US" w:eastAsia="zh-CN" w:bidi="ar-SA"/>
              </w:rPr>
              <w:t>该监测断面202</w:t>
            </w:r>
            <w:r>
              <w:rPr>
                <w:rFonts w:hint="default" w:ascii="Times New Roman" w:hAnsi="Times New Roman"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，超标原因是融雪化冰期和夏汛期间受本底值影响，扣除本底值后，</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满足</w:t>
            </w:r>
            <w:r>
              <w:rPr>
                <w:rFonts w:hint="default" w:ascii="Times New Roman" w:hAnsi="Times New Roman" w:eastAsia="宋体" w:cs="Times New Roman"/>
                <w:color w:val="auto"/>
                <w:kern w:val="0"/>
                <w:sz w:val="24"/>
                <w:szCs w:val="24"/>
                <w:highlight w:val="none"/>
                <w:u w:val="none" w:color="000000"/>
                <w:lang w:val="en-US" w:eastAsia="zh-CN" w:bidi="ar-SA"/>
              </w:rPr>
              <w:t>《地表水环境质量标准》（GB3838-2002）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w:t>
            </w:r>
          </w:p>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3、声环境质量现状</w:t>
            </w:r>
          </w:p>
          <w:p>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根据《建设项目环境影响报告表编制技术指南（污染影响类）（试行）》，厂</w:t>
            </w:r>
            <w:r>
              <w:rPr>
                <w:rFonts w:hint="eastAsia" w:cs="宋体"/>
                <w:color w:val="auto"/>
                <w:kern w:val="0"/>
                <w:sz w:val="24"/>
              </w:rPr>
              <w:t>界外周边50米范围内存在声环境保护目标的建设项目，应监测保护目标声环境质量现状并评价达标情况。</w:t>
            </w:r>
            <w:r>
              <w:rPr>
                <w:rFonts w:cs="宋体"/>
                <w:color w:val="auto"/>
                <w:kern w:val="0"/>
                <w:sz w:val="24"/>
              </w:rPr>
              <w:t>本项目敏感点声环境质量现状来源于</w:t>
            </w:r>
            <w:r>
              <w:rPr>
                <w:rFonts w:hint="default" w:ascii="Times New Roman" w:hAnsi="Times New Roman" w:cs="Times New Roman"/>
                <w:color w:val="auto"/>
                <w:sz w:val="24"/>
                <w:szCs w:val="24"/>
                <w:lang w:val="en-US" w:eastAsia="zh-CN"/>
              </w:rPr>
              <w:t>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w:t>
            </w:r>
            <w:r>
              <w:rPr>
                <w:rFonts w:hint="eastAsia" w:cs="宋体"/>
                <w:color w:val="auto"/>
                <w:kern w:val="0"/>
                <w:sz w:val="24"/>
                <w:lang w:val="en-US" w:eastAsia="zh-CN"/>
              </w:rPr>
              <w:t>出具的</w:t>
            </w:r>
            <w:r>
              <w:rPr>
                <w:rFonts w:hint="eastAsia" w:cs="宋体"/>
                <w:color w:val="auto"/>
                <w:kern w:val="0"/>
                <w:sz w:val="24"/>
              </w:rPr>
              <w:t>监测</w:t>
            </w:r>
            <w:r>
              <w:rPr>
                <w:rFonts w:hint="eastAsia" w:cs="宋体"/>
                <w:color w:val="auto"/>
                <w:kern w:val="0"/>
                <w:sz w:val="24"/>
                <w:lang w:val="en-US" w:eastAsia="zh-CN"/>
              </w:rPr>
              <w:t>报告</w:t>
            </w:r>
            <w:r>
              <w:rPr>
                <w:rFonts w:cs="宋体"/>
                <w:color w:val="auto"/>
                <w:kern w:val="0"/>
                <w:sz w:val="24"/>
              </w:rPr>
              <w:t>。</w:t>
            </w:r>
            <w:r>
              <w:rPr>
                <w:rFonts w:hint="eastAsia" w:cs="宋体"/>
                <w:color w:val="auto"/>
                <w:kern w:val="0"/>
                <w:sz w:val="24"/>
                <w:lang w:val="en-US" w:eastAsia="zh-CN"/>
              </w:rPr>
              <w:t>环境监测点位示意图见图3-1，监测结果如下：</w:t>
            </w:r>
          </w:p>
          <w:p>
            <w:pPr>
              <w:jc w:val="center"/>
              <w:rPr>
                <w:b/>
                <w:bCs/>
                <w:color w:val="auto"/>
                <w:sz w:val="21"/>
                <w:szCs w:val="21"/>
              </w:rPr>
            </w:pPr>
            <w:r>
              <w:rPr>
                <w:b/>
                <w:bCs/>
                <w:color w:val="auto"/>
                <w:sz w:val="21"/>
                <w:szCs w:val="21"/>
              </w:rPr>
              <w:t>表3-</w:t>
            </w:r>
            <w:r>
              <w:rPr>
                <w:rFonts w:hint="eastAsia"/>
                <w:b/>
                <w:bCs/>
                <w:color w:val="auto"/>
                <w:sz w:val="21"/>
                <w:szCs w:val="21"/>
                <w:lang w:val="en-US" w:eastAsia="zh-CN"/>
              </w:rPr>
              <w:t xml:space="preserve">4 </w:t>
            </w:r>
            <w:r>
              <w:rPr>
                <w:b/>
                <w:bCs/>
                <w:color w:val="auto"/>
                <w:sz w:val="21"/>
                <w:szCs w:val="21"/>
              </w:rPr>
              <w:t>声环境质量监测结果</w:t>
            </w:r>
          </w:p>
          <w:tbl>
            <w:tblPr>
              <w:tblStyle w:val="3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5"/>
              <w:gridCol w:w="2174"/>
              <w:gridCol w:w="2167"/>
              <w:gridCol w:w="15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615"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bookmarkStart w:id="24" w:name="_Toc6289"/>
                  <w:bookmarkStart w:id="25" w:name="_Toc746"/>
                  <w:bookmarkStart w:id="26" w:name="_Toc19416"/>
                  <w:r>
                    <w:rPr>
                      <w:rFonts w:hint="eastAsia" w:ascii="Times New Roman" w:hAnsiTheme="minorEastAsia" w:eastAsiaTheme="minorEastAsia"/>
                      <w:b/>
                      <w:sz w:val="21"/>
                      <w:szCs w:val="21"/>
                    </w:rPr>
                    <w:t>检测点位</w:t>
                  </w:r>
                </w:p>
              </w:tc>
              <w:tc>
                <w:tcPr>
                  <w:tcW w:w="4341" w:type="dxa"/>
                  <w:gridSpan w:val="2"/>
                  <w:tcBorders>
                    <w:top w:val="single" w:color="auto" w:sz="12"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检测结果</w:t>
                  </w:r>
                </w:p>
              </w:tc>
              <w:tc>
                <w:tcPr>
                  <w:tcW w:w="1548"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615"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c>
                <w:tcPr>
                  <w:tcW w:w="4341" w:type="dxa"/>
                  <w:gridSpan w:val="2"/>
                  <w:tcBorders>
                    <w:top w:val="single" w:color="auto" w:sz="4" w:space="0"/>
                    <w:bottom w:val="single" w:color="auto" w:sz="4" w:space="0"/>
                  </w:tcBorders>
                  <w:vAlign w:val="center"/>
                </w:tcPr>
                <w:p>
                  <w:pPr>
                    <w:spacing w:after="0"/>
                    <w:jc w:val="center"/>
                    <w:rPr>
                      <w:rFonts w:hint="default" w:ascii="Times New Roman" w:hAnsiTheme="minorEastAsia" w:eastAsiaTheme="minorEastAsia"/>
                      <w:b/>
                      <w:sz w:val="21"/>
                      <w:szCs w:val="21"/>
                      <w:lang w:val="en-US" w:eastAsia="zh-CN"/>
                    </w:rPr>
                  </w:pPr>
                  <w:r>
                    <w:rPr>
                      <w:rFonts w:ascii="Times New Roman" w:hAnsiTheme="minorEastAsia" w:eastAsiaTheme="minorEastAsia"/>
                      <w:b/>
                      <w:sz w:val="21"/>
                      <w:szCs w:val="21"/>
                    </w:rPr>
                    <w:t>2026.0</w:t>
                  </w:r>
                  <w:r>
                    <w:rPr>
                      <w:rFonts w:hint="eastAsia" w:ascii="Times New Roman" w:hAnsiTheme="minorEastAsia" w:eastAsiaTheme="minorEastAsia"/>
                      <w:b/>
                      <w:sz w:val="21"/>
                      <w:szCs w:val="21"/>
                      <w:lang w:val="en-US" w:eastAsia="zh-CN"/>
                    </w:rPr>
                    <w:t>5</w:t>
                  </w:r>
                  <w:r>
                    <w:rPr>
                      <w:rFonts w:ascii="Times New Roman" w:hAnsiTheme="minorEastAsia" w:eastAsiaTheme="minorEastAsia"/>
                      <w:b/>
                      <w:sz w:val="21"/>
                      <w:szCs w:val="21"/>
                    </w:rPr>
                    <w:t>.</w:t>
                  </w:r>
                  <w:r>
                    <w:rPr>
                      <w:rFonts w:hint="eastAsia" w:ascii="Times New Roman" w:hAnsiTheme="minorEastAsia" w:eastAsiaTheme="minorEastAsia"/>
                      <w:b/>
                      <w:sz w:val="21"/>
                      <w:szCs w:val="21"/>
                      <w:lang w:val="en-US" w:eastAsia="zh-CN"/>
                    </w:rPr>
                    <w:t>07</w:t>
                  </w:r>
                </w:p>
              </w:tc>
              <w:tc>
                <w:tcPr>
                  <w:tcW w:w="1548"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615"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c>
                <w:tcPr>
                  <w:tcW w:w="2174"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昼间</w:t>
                  </w:r>
                </w:p>
              </w:tc>
              <w:tc>
                <w:tcPr>
                  <w:tcW w:w="2167"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夜间</w:t>
                  </w:r>
                </w:p>
              </w:tc>
              <w:tc>
                <w:tcPr>
                  <w:tcW w:w="1548"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15"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厂界北侧居民1#</w:t>
                  </w:r>
                </w:p>
              </w:tc>
              <w:tc>
                <w:tcPr>
                  <w:tcW w:w="2174" w:type="dxa"/>
                  <w:tcBorders>
                    <w:top w:val="single" w:color="auto" w:sz="12" w:space="0"/>
                  </w:tcBorders>
                  <w:vAlign w:val="center"/>
                </w:tcPr>
                <w:p>
                  <w:pPr>
                    <w:adjustRightInd/>
                    <w:snapToGrid/>
                    <w:spacing w:after="0"/>
                    <w:contextualSpacing/>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51</w:t>
                  </w:r>
                </w:p>
              </w:tc>
              <w:tc>
                <w:tcPr>
                  <w:tcW w:w="2167" w:type="dxa"/>
                  <w:tcBorders>
                    <w:top w:val="single" w:color="auto" w:sz="12" w:space="0"/>
                  </w:tcBorders>
                  <w:vAlign w:val="center"/>
                </w:tcPr>
                <w:p>
                  <w:pPr>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9</w:t>
                  </w:r>
                </w:p>
              </w:tc>
              <w:tc>
                <w:tcPr>
                  <w:tcW w:w="1548" w:type="dxa"/>
                  <w:vMerge w:val="restart"/>
                  <w:tcBorders>
                    <w:top w:val="single" w:color="auto" w:sz="12" w:space="0"/>
                  </w:tcBorders>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15"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ascii="Times New Roman" w:hAnsi="Times New Roman" w:eastAsia="宋体"/>
                      <w:color w:val="000000" w:themeColor="text1"/>
                      <w:sz w:val="21"/>
                      <w:szCs w:val="21"/>
                      <w:lang w:val="en-US" w:eastAsia="zh-CN"/>
                      <w14:textFill>
                        <w14:solidFill>
                          <w14:schemeClr w14:val="tx1"/>
                        </w14:solidFill>
                      </w14:textFill>
                    </w:rPr>
                    <w:t>东</w:t>
                  </w:r>
                  <w:r>
                    <w:rPr>
                      <w:rFonts w:hint="eastAsia" w:ascii="Times New Roman" w:hAnsi="Times New Roman" w:eastAsia="宋体"/>
                      <w:color w:val="000000" w:themeColor="text1"/>
                      <w:sz w:val="21"/>
                      <w:szCs w:val="21"/>
                      <w14:textFill>
                        <w14:solidFill>
                          <w14:schemeClr w14:val="tx1"/>
                        </w14:solidFill>
                      </w14:textFill>
                    </w:rPr>
                    <w:t>侧居民2#</w:t>
                  </w:r>
                </w:p>
              </w:tc>
              <w:tc>
                <w:tcPr>
                  <w:tcW w:w="2174" w:type="dxa"/>
                  <w:vAlign w:val="center"/>
                </w:tcPr>
                <w:p>
                  <w:pPr>
                    <w:adjustRightInd/>
                    <w:snapToGrid/>
                    <w:spacing w:after="0"/>
                    <w:contextualSpacing/>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52</w:t>
                  </w:r>
                </w:p>
              </w:tc>
              <w:tc>
                <w:tcPr>
                  <w:tcW w:w="2167"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0</w:t>
                  </w:r>
                </w:p>
              </w:tc>
              <w:tc>
                <w:tcPr>
                  <w:tcW w:w="1548" w:type="dxa"/>
                  <w:vMerge w:val="continue"/>
                  <w:vAlign w:val="center"/>
                </w:tcPr>
                <w:p>
                  <w:pPr>
                    <w:spacing w:after="0"/>
                    <w:jc w:val="center"/>
                    <w:rPr>
                      <w:rFonts w:ascii="Times New Roman" w:hAns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15"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ascii="Times New Roman" w:hAnsi="Times New Roman" w:eastAsia="宋体"/>
                      <w:color w:val="000000" w:themeColor="text1"/>
                      <w:sz w:val="21"/>
                      <w:szCs w:val="21"/>
                      <w:lang w:val="en-US" w:eastAsia="zh-CN"/>
                      <w14:textFill>
                        <w14:solidFill>
                          <w14:schemeClr w14:val="tx1"/>
                        </w14:solidFill>
                      </w14:textFill>
                    </w:rPr>
                    <w:t>南</w:t>
                  </w:r>
                  <w:r>
                    <w:rPr>
                      <w:rFonts w:hint="eastAsia" w:ascii="Times New Roman" w:hAnsi="Times New Roman" w:eastAsia="宋体"/>
                      <w:color w:val="000000" w:themeColor="text1"/>
                      <w:sz w:val="21"/>
                      <w:szCs w:val="21"/>
                      <w14:textFill>
                        <w14:solidFill>
                          <w14:schemeClr w14:val="tx1"/>
                        </w14:solidFill>
                      </w14:textFill>
                    </w:rPr>
                    <w:t>侧居民3#</w:t>
                  </w:r>
                </w:p>
              </w:tc>
              <w:tc>
                <w:tcPr>
                  <w:tcW w:w="2174" w:type="dxa"/>
                  <w:vAlign w:val="center"/>
                </w:tcPr>
                <w:p>
                  <w:pPr>
                    <w:adjustRightInd/>
                    <w:snapToGrid/>
                    <w:spacing w:after="0"/>
                    <w:contextualSpacing/>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51</w:t>
                  </w:r>
                </w:p>
              </w:tc>
              <w:tc>
                <w:tcPr>
                  <w:tcW w:w="2167"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0</w:t>
                  </w:r>
                </w:p>
              </w:tc>
              <w:tc>
                <w:tcPr>
                  <w:tcW w:w="1548" w:type="dxa"/>
                  <w:vMerge w:val="continue"/>
                  <w:vAlign w:val="center"/>
                </w:tcPr>
                <w:p>
                  <w:pPr>
                    <w:spacing w:after="0"/>
                    <w:jc w:val="center"/>
                    <w:rPr>
                      <w:rFonts w:ascii="Times New Roman" w:hAns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615"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ascii="Times New Roman" w:hAnsi="Times New Roman" w:eastAsia="宋体"/>
                      <w:color w:val="000000" w:themeColor="text1"/>
                      <w:sz w:val="21"/>
                      <w:szCs w:val="21"/>
                      <w:lang w:val="en-US" w:eastAsia="zh-CN"/>
                      <w14:textFill>
                        <w14:solidFill>
                          <w14:schemeClr w14:val="tx1"/>
                        </w14:solidFill>
                      </w14:textFill>
                    </w:rPr>
                    <w:t>西</w:t>
                  </w:r>
                  <w:r>
                    <w:rPr>
                      <w:rFonts w:hint="eastAsia" w:ascii="Times New Roman" w:hAnsi="Times New Roman" w:eastAsia="宋体"/>
                      <w:color w:val="000000" w:themeColor="text1"/>
                      <w:sz w:val="21"/>
                      <w:szCs w:val="21"/>
                      <w14:textFill>
                        <w14:solidFill>
                          <w14:schemeClr w14:val="tx1"/>
                        </w14:solidFill>
                      </w14:textFill>
                    </w:rPr>
                    <w:t>侧居民4#</w:t>
                  </w:r>
                </w:p>
              </w:tc>
              <w:tc>
                <w:tcPr>
                  <w:tcW w:w="2174" w:type="dxa"/>
                  <w:vAlign w:val="center"/>
                </w:tcPr>
                <w:p>
                  <w:pPr>
                    <w:adjustRightInd/>
                    <w:snapToGrid/>
                    <w:spacing w:after="0"/>
                    <w:contextualSpacing/>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53</w:t>
                  </w:r>
                </w:p>
              </w:tc>
              <w:tc>
                <w:tcPr>
                  <w:tcW w:w="2167" w:type="dxa"/>
                  <w:vAlign w:val="center"/>
                </w:tcPr>
                <w:p>
                  <w:pPr>
                    <w:adjustRightInd/>
                    <w:snapToGrid/>
                    <w:spacing w:after="0"/>
                    <w:contextualSpacing/>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41</w:t>
                  </w:r>
                </w:p>
              </w:tc>
              <w:tc>
                <w:tcPr>
                  <w:tcW w:w="1548" w:type="dxa"/>
                  <w:vMerge w:val="continue"/>
                  <w:vAlign w:val="center"/>
                </w:tcPr>
                <w:p>
                  <w:pPr>
                    <w:spacing w:after="0"/>
                    <w:jc w:val="center"/>
                    <w:rPr>
                      <w:rFonts w:ascii="Times New Roman" w:hAnsi="Times New Roman" w:eastAsiaTheme="minorEastAsia"/>
                      <w:sz w:val="21"/>
                      <w:szCs w:val="21"/>
                    </w:rPr>
                  </w:pPr>
                </w:p>
              </w:tc>
            </w:tr>
          </w:tbl>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rFonts w:ascii="Times New Roman" w:hAnsi="Times New Roman" w:eastAsia="宋体" w:cs="宋体"/>
                <w:b w:val="0"/>
                <w:bCs w:val="0"/>
                <w:color w:val="auto"/>
                <w:kern w:val="0"/>
                <w:sz w:val="24"/>
                <w:szCs w:val="24"/>
                <w:lang w:val="en-US" w:eastAsia="zh-CN" w:bidi="ar-SA"/>
              </w:rPr>
              <w:t>由上表可知，本项目</w:t>
            </w:r>
            <w:r>
              <w:rPr>
                <w:rFonts w:hint="eastAsia" w:eastAsia="宋体" w:cs="宋体"/>
                <w:b w:val="0"/>
                <w:bCs w:val="0"/>
                <w:color w:val="auto"/>
                <w:kern w:val="0"/>
                <w:sz w:val="24"/>
                <w:szCs w:val="24"/>
                <w:lang w:val="en-US" w:eastAsia="zh-CN" w:bidi="ar-SA"/>
              </w:rPr>
              <w:t>所在区域</w:t>
            </w:r>
            <w:r>
              <w:rPr>
                <w:rFonts w:ascii="Times New Roman" w:hAnsi="Times New Roman" w:eastAsia="宋体" w:cs="宋体"/>
                <w:b w:val="0"/>
                <w:bCs w:val="0"/>
                <w:color w:val="auto"/>
                <w:kern w:val="0"/>
                <w:sz w:val="24"/>
                <w:szCs w:val="24"/>
                <w:lang w:val="en-US" w:eastAsia="zh-CN" w:bidi="ar-SA"/>
              </w:rPr>
              <w:t>声环境监测点昼夜间的等效声级满足《声环境质量标准》（GB3096-2008）中2类区标准要求</w:t>
            </w:r>
            <w:r>
              <w:rPr>
                <w:rFonts w:hint="eastAsia" w:ascii="Times New Roman" w:hAnsi="Times New Roman" w:eastAsia="宋体" w:cs="宋体"/>
                <w:b w:val="0"/>
                <w:bCs w:val="0"/>
                <w:color w:val="auto"/>
                <w:kern w:val="0"/>
                <w:sz w:val="24"/>
                <w:szCs w:val="24"/>
                <w:lang w:val="en-US" w:eastAsia="zh-CN" w:bidi="ar-SA"/>
              </w:rPr>
              <w:t>，</w:t>
            </w:r>
            <w:r>
              <w:rPr>
                <w:rFonts w:ascii="Times New Roman" w:hAnsi="Times New Roman" w:eastAsia="宋体" w:cs="宋体"/>
                <w:b w:val="0"/>
                <w:bCs w:val="0"/>
                <w:color w:val="auto"/>
                <w:kern w:val="0"/>
                <w:sz w:val="24"/>
                <w:szCs w:val="24"/>
                <w:lang w:val="en-US" w:eastAsia="zh-CN" w:bidi="ar-SA"/>
              </w:rPr>
              <w:t>评价区域声环境保护目标声环境质量现状达标。</w:t>
            </w:r>
            <w:bookmarkEnd w:id="24"/>
            <w:bookmarkEnd w:id="25"/>
            <w:bookmarkEnd w:id="2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692"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目标</w:t>
            </w:r>
          </w:p>
        </w:tc>
        <w:tc>
          <w:tcPr>
            <w:tcW w:w="8946" w:type="dxa"/>
            <w:vAlign w:val="center"/>
          </w:tcPr>
          <w:p>
            <w:pPr>
              <w:spacing w:line="360" w:lineRule="auto"/>
              <w:ind w:firstLine="498" w:firstLineChars="200"/>
              <w:rPr>
                <w:b/>
                <w:bCs/>
                <w:color w:val="000000" w:themeColor="text1"/>
                <w:spacing w:val="4"/>
                <w:sz w:val="24"/>
                <w14:textFill>
                  <w14:solidFill>
                    <w14:schemeClr w14:val="tx1"/>
                  </w14:solidFill>
                </w14:textFill>
              </w:rPr>
            </w:pPr>
            <w:r>
              <w:rPr>
                <w:b/>
                <w:bCs/>
                <w:color w:val="000000" w:themeColor="text1"/>
                <w:spacing w:val="4"/>
                <w:sz w:val="24"/>
                <w14:textFill>
                  <w14:solidFill>
                    <w14:schemeClr w14:val="tx1"/>
                  </w14:solidFill>
                </w14:textFill>
              </w:rPr>
              <w:t>1、环境空气保护目标</w:t>
            </w:r>
          </w:p>
          <w:p>
            <w:pPr>
              <w:spacing w:line="360" w:lineRule="auto"/>
              <w:ind w:firstLine="496" w:firstLineChars="200"/>
              <w:jc w:val="left"/>
              <w:rPr>
                <w:color w:val="000000" w:themeColor="text1"/>
                <w:spacing w:val="4"/>
                <w:sz w:val="24"/>
                <w:highlight w:val="none"/>
                <w14:textFill>
                  <w14:solidFill>
                    <w14:schemeClr w14:val="tx1"/>
                  </w14:solidFill>
                </w14:textFill>
              </w:rPr>
            </w:pPr>
            <w:r>
              <w:rPr>
                <w:color w:val="000000" w:themeColor="text1"/>
                <w:spacing w:val="4"/>
                <w:sz w:val="24"/>
                <w:highlight w:val="none"/>
                <w14:textFill>
                  <w14:solidFill>
                    <w14:schemeClr w14:val="tx1"/>
                  </w14:solidFill>
                </w14:textFill>
              </w:rPr>
              <w:t>本项目厂界</w:t>
            </w:r>
            <w:r>
              <w:rPr>
                <w:rFonts w:hint="eastAsia"/>
                <w:color w:val="000000" w:themeColor="text1"/>
                <w:spacing w:val="4"/>
                <w:sz w:val="24"/>
                <w:highlight w:val="none"/>
                <w14:textFill>
                  <w14:solidFill>
                    <w14:schemeClr w14:val="tx1"/>
                  </w14:solidFill>
                </w14:textFill>
              </w:rPr>
              <w:t>外</w:t>
            </w:r>
            <w:r>
              <w:rPr>
                <w:color w:val="000000" w:themeColor="text1"/>
                <w:spacing w:val="4"/>
                <w:sz w:val="24"/>
                <w:highlight w:val="none"/>
                <w14:textFill>
                  <w14:solidFill>
                    <w14:schemeClr w14:val="tx1"/>
                  </w14:solidFill>
                </w14:textFill>
              </w:rPr>
              <w:t>500米范围内</w:t>
            </w:r>
            <w:r>
              <w:rPr>
                <w:rFonts w:hint="eastAsia"/>
                <w:color w:val="000000" w:themeColor="text1"/>
                <w:spacing w:val="4"/>
                <w:sz w:val="24"/>
                <w:highlight w:val="none"/>
                <w14:textFill>
                  <w14:solidFill>
                    <w14:schemeClr w14:val="tx1"/>
                  </w14:solidFill>
                </w14:textFill>
              </w:rPr>
              <w:t>无</w:t>
            </w:r>
            <w:r>
              <w:rPr>
                <w:color w:val="000000" w:themeColor="text1"/>
                <w:spacing w:val="4"/>
                <w:sz w:val="24"/>
                <w:highlight w:val="none"/>
                <w14:textFill>
                  <w14:solidFill>
                    <w14:schemeClr w14:val="tx1"/>
                  </w14:solidFill>
                </w14:textFill>
              </w:rPr>
              <w:t>自然保护区、风景名胜区，环境空气保护目标详见下表。</w:t>
            </w:r>
          </w:p>
          <w:p>
            <w:pPr>
              <w:pStyle w:val="101"/>
              <w:adjustRightInd/>
              <w:snapToGrid/>
              <w:spacing w:line="240" w:lineRule="auto"/>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w:t>
            </w:r>
            <w:r>
              <w:rPr>
                <w:rFonts w:hint="eastAsia"/>
                <w:b/>
                <w:bCs/>
                <w:color w:val="000000" w:themeColor="text1"/>
                <w:sz w:val="21"/>
                <w:szCs w:val="21"/>
                <w:highlight w:val="none"/>
                <w:lang w:val="en-US" w:eastAsia="zh-CN"/>
                <w14:textFill>
                  <w14:solidFill>
                    <w14:schemeClr w14:val="tx1"/>
                  </w14:solidFill>
                </w14:textFill>
              </w:rPr>
              <w:t>5</w:t>
            </w:r>
            <w:r>
              <w:rPr>
                <w:rFonts w:hint="eastAsia"/>
                <w:b/>
                <w:color w:val="000000" w:themeColor="text1"/>
                <w:sz w:val="21"/>
                <w:szCs w:val="21"/>
                <w:highlight w:val="none"/>
                <w14:textFill>
                  <w14:solidFill>
                    <w14:schemeClr w14:val="tx1"/>
                  </w14:solidFill>
                </w14:textFill>
              </w:rPr>
              <w:t xml:space="preserve"> 环境空气保护目标一览表</w:t>
            </w:r>
          </w:p>
          <w:tbl>
            <w:tblPr>
              <w:tblStyle w:val="36"/>
              <w:tblW w:w="873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537"/>
              <w:gridCol w:w="1485"/>
              <w:gridCol w:w="903"/>
              <w:gridCol w:w="739"/>
              <w:gridCol w:w="1037"/>
              <w:gridCol w:w="887"/>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86" w:type="dxa"/>
                  <w:vMerge w:val="restart"/>
                  <w:vAlign w:val="center"/>
                </w:tcPr>
                <w:p>
                  <w:pPr>
                    <w:pStyle w:val="69"/>
                    <w:spacing w:before="24" w:after="24" w:line="240" w:lineRule="auto"/>
                    <w:ind w:left="-3" w:firstLine="3"/>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名称</w:t>
                  </w:r>
                </w:p>
              </w:tc>
              <w:tc>
                <w:tcPr>
                  <w:tcW w:w="3022" w:type="dxa"/>
                  <w:gridSpan w:val="2"/>
                  <w:vAlign w:val="center"/>
                </w:tcPr>
                <w:p>
                  <w:pPr>
                    <w:pStyle w:val="69"/>
                    <w:spacing w:before="24" w:after="24" w:line="240" w:lineRule="auto"/>
                    <w:ind w:left="-3" w:firstLine="3"/>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坐标</w:t>
                  </w:r>
                </w:p>
              </w:tc>
              <w:tc>
                <w:tcPr>
                  <w:tcW w:w="903" w:type="dxa"/>
                  <w:vMerge w:val="restart"/>
                  <w:vAlign w:val="center"/>
                </w:tcPr>
                <w:p>
                  <w:pPr>
                    <w:pStyle w:val="69"/>
                    <w:spacing w:before="24" w:after="24" w:line="240" w:lineRule="auto"/>
                    <w:ind w:left="-3" w:firstLine="3"/>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保护</w:t>
                  </w:r>
                </w:p>
                <w:p>
                  <w:pPr>
                    <w:pStyle w:val="69"/>
                    <w:spacing w:before="24" w:after="24" w:line="240" w:lineRule="auto"/>
                    <w:ind w:left="-3" w:firstLine="3"/>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对象</w:t>
                  </w:r>
                </w:p>
              </w:tc>
              <w:tc>
                <w:tcPr>
                  <w:tcW w:w="739" w:type="dxa"/>
                  <w:vMerge w:val="restart"/>
                  <w:vAlign w:val="center"/>
                </w:tcPr>
                <w:p>
                  <w:pPr>
                    <w:pStyle w:val="69"/>
                    <w:spacing w:before="24" w:after="24" w:line="240" w:lineRule="auto"/>
                    <w:ind w:left="-3" w:firstLine="3"/>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保护</w:t>
                  </w:r>
                </w:p>
                <w:p>
                  <w:pPr>
                    <w:pStyle w:val="69"/>
                    <w:spacing w:before="24" w:after="24" w:line="240" w:lineRule="auto"/>
                    <w:ind w:left="-3" w:firstLine="3"/>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内容</w:t>
                  </w:r>
                </w:p>
              </w:tc>
              <w:tc>
                <w:tcPr>
                  <w:tcW w:w="1037" w:type="dxa"/>
                  <w:vMerge w:val="restart"/>
                  <w:vAlign w:val="center"/>
                </w:tcPr>
                <w:p>
                  <w:pPr>
                    <w:pStyle w:val="69"/>
                    <w:spacing w:before="24" w:after="24" w:line="240" w:lineRule="auto"/>
                    <w:ind w:left="-3" w:firstLine="3"/>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环境</w:t>
                  </w:r>
                </w:p>
                <w:p>
                  <w:pPr>
                    <w:pStyle w:val="69"/>
                    <w:spacing w:before="24" w:after="24" w:line="240" w:lineRule="auto"/>
                    <w:ind w:left="-3" w:firstLine="3"/>
                    <w:rPr>
                      <w:rFonts w:ascii="Times New Roman"/>
                      <w:color w:val="000000" w:themeColor="text1"/>
                      <w:szCs w:val="21"/>
                      <w:highlight w:val="none"/>
                      <w14:textFill>
                        <w14:solidFill>
                          <w14:schemeClr w14:val="tx1"/>
                        </w14:solidFill>
                      </w14:textFill>
                    </w:rPr>
                  </w:pPr>
                  <w:r>
                    <w:rPr>
                      <w:rFonts w:ascii="Times New Roman"/>
                      <w:color w:val="000000" w:themeColor="text1"/>
                      <w:szCs w:val="21"/>
                      <w:highlight w:val="none"/>
                      <w14:textFill>
                        <w14:solidFill>
                          <w14:schemeClr w14:val="tx1"/>
                        </w14:solidFill>
                      </w14:textFill>
                    </w:rPr>
                    <w:t>功能区</w:t>
                  </w:r>
                </w:p>
              </w:tc>
              <w:tc>
                <w:tcPr>
                  <w:tcW w:w="887" w:type="dxa"/>
                  <w:vMerge w:val="restart"/>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相对厂址方位</w:t>
                  </w:r>
                </w:p>
              </w:tc>
              <w:tc>
                <w:tcPr>
                  <w:tcW w:w="956" w:type="dxa"/>
                  <w:vMerge w:val="restart"/>
                  <w:vAlign w:val="center"/>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相对厂界距离</w:t>
                  </w:r>
                  <w:r>
                    <w:rPr>
                      <w:rFonts w:hint="eastAsia"/>
                      <w:color w:val="000000" w:themeColor="text1"/>
                      <w:highlight w:val="none"/>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86" w:type="dxa"/>
                  <w:vMerge w:val="continue"/>
                  <w:vAlign w:val="center"/>
                </w:tcPr>
                <w:p>
                  <w:pPr>
                    <w:pStyle w:val="69"/>
                    <w:spacing w:before="24" w:after="24" w:line="240" w:lineRule="auto"/>
                    <w:ind w:left="-3"/>
                    <w:rPr>
                      <w:rFonts w:ascii="Times New Roman"/>
                      <w:bCs/>
                      <w:color w:val="000000" w:themeColor="text1"/>
                      <w:szCs w:val="21"/>
                      <w:highlight w:val="none"/>
                      <w14:textFill>
                        <w14:solidFill>
                          <w14:schemeClr w14:val="tx1"/>
                        </w14:solidFill>
                      </w14:textFill>
                    </w:rPr>
                  </w:pPr>
                </w:p>
              </w:tc>
              <w:tc>
                <w:tcPr>
                  <w:tcW w:w="1537" w:type="dxa"/>
                  <w:vAlign w:val="center"/>
                </w:tcPr>
                <w:p>
                  <w:pPr>
                    <w:pStyle w:val="69"/>
                    <w:adjustRightInd/>
                    <w:snapToGrid/>
                    <w:spacing w:beforeLines="0" w:afterLines="0" w:line="240" w:lineRule="auto"/>
                    <w:rPr>
                      <w:rFonts w:asci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X</w:t>
                  </w:r>
                </w:p>
              </w:tc>
              <w:tc>
                <w:tcPr>
                  <w:tcW w:w="1485" w:type="dxa"/>
                  <w:vAlign w:val="center"/>
                </w:tcPr>
                <w:p>
                  <w:pPr>
                    <w:pStyle w:val="69"/>
                    <w:adjustRightInd/>
                    <w:snapToGrid/>
                    <w:spacing w:beforeLines="0" w:afterLines="0" w:line="240" w:lineRule="auto"/>
                    <w:rPr>
                      <w:rFonts w:ascii="Times New Roman"/>
                      <w:color w:val="000000" w:themeColor="text1"/>
                      <w:szCs w:val="21"/>
                      <w:highlight w:val="none"/>
                      <w14:textFill>
                        <w14:solidFill>
                          <w14:schemeClr w14:val="tx1"/>
                        </w14:solidFill>
                      </w14:textFill>
                    </w:rPr>
                  </w:pPr>
                  <w:r>
                    <w:rPr>
                      <w:rFonts w:hint="eastAsia" w:ascii="Times New Roman"/>
                      <w:color w:val="000000" w:themeColor="text1"/>
                      <w:szCs w:val="21"/>
                      <w:highlight w:val="none"/>
                      <w14:textFill>
                        <w14:solidFill>
                          <w14:schemeClr w14:val="tx1"/>
                        </w14:solidFill>
                      </w14:textFill>
                    </w:rPr>
                    <w:t>Y</w:t>
                  </w:r>
                </w:p>
              </w:tc>
              <w:tc>
                <w:tcPr>
                  <w:tcW w:w="903" w:type="dxa"/>
                  <w:vMerge w:val="continue"/>
                  <w:vAlign w:val="center"/>
                </w:tcPr>
                <w:p>
                  <w:pPr>
                    <w:rPr>
                      <w:color w:val="000000" w:themeColor="text1"/>
                      <w:szCs w:val="21"/>
                      <w:highlight w:val="none"/>
                      <w14:textFill>
                        <w14:solidFill>
                          <w14:schemeClr w14:val="tx1"/>
                        </w14:solidFill>
                      </w14:textFill>
                    </w:rPr>
                  </w:pPr>
                </w:p>
              </w:tc>
              <w:tc>
                <w:tcPr>
                  <w:tcW w:w="739" w:type="dxa"/>
                  <w:vMerge w:val="continue"/>
                  <w:vAlign w:val="center"/>
                </w:tcPr>
                <w:p>
                  <w:pPr>
                    <w:rPr>
                      <w:color w:val="000000" w:themeColor="text1"/>
                      <w:szCs w:val="21"/>
                      <w:highlight w:val="none"/>
                      <w14:textFill>
                        <w14:solidFill>
                          <w14:schemeClr w14:val="tx1"/>
                        </w14:solidFill>
                      </w14:textFill>
                    </w:rPr>
                  </w:pPr>
                </w:p>
              </w:tc>
              <w:tc>
                <w:tcPr>
                  <w:tcW w:w="1037" w:type="dxa"/>
                  <w:vMerge w:val="continue"/>
                  <w:vAlign w:val="center"/>
                </w:tcPr>
                <w:p>
                  <w:pPr>
                    <w:rPr>
                      <w:color w:val="000000" w:themeColor="text1"/>
                      <w:szCs w:val="21"/>
                      <w:highlight w:val="none"/>
                      <w14:textFill>
                        <w14:solidFill>
                          <w14:schemeClr w14:val="tx1"/>
                        </w14:solidFill>
                      </w14:textFill>
                    </w:rPr>
                  </w:pPr>
                </w:p>
              </w:tc>
              <w:tc>
                <w:tcPr>
                  <w:tcW w:w="887" w:type="dxa"/>
                  <w:vMerge w:val="continue"/>
                  <w:vAlign w:val="center"/>
                </w:tcPr>
                <w:p>
                  <w:pPr>
                    <w:rPr>
                      <w:color w:val="000000" w:themeColor="text1"/>
                      <w:szCs w:val="21"/>
                      <w:highlight w:val="none"/>
                      <w14:textFill>
                        <w14:solidFill>
                          <w14:schemeClr w14:val="tx1"/>
                        </w14:solidFill>
                      </w14:textFill>
                    </w:rPr>
                  </w:pPr>
                </w:p>
              </w:tc>
              <w:tc>
                <w:tcPr>
                  <w:tcW w:w="956" w:type="dxa"/>
                  <w:vMerge w:val="continue"/>
                  <w:vAlign w:val="center"/>
                </w:tcPr>
                <w:p>
                  <w:pPr>
                    <w:rPr>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86" w:type="dxa"/>
                  <w:vAlign w:val="center"/>
                </w:tcPr>
                <w:p>
                  <w:pPr>
                    <w:pStyle w:val="69"/>
                    <w:adjustRightInd/>
                    <w:snapToGrid/>
                    <w:spacing w:beforeLines="0" w:afterLines="0" w:line="240" w:lineRule="auto"/>
                    <w:rPr>
                      <w:rFonts w:ascii="Times New Roman"/>
                      <w:color w:val="000000" w:themeColor="text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向阳乡</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农村</w:t>
                  </w:r>
                  <w:r>
                    <w:rPr>
                      <w:rFonts w:hint="eastAsia" w:ascii="Times New Roman" w:hAnsi="Times New Roman" w:eastAsia="宋体"/>
                      <w:color w:val="000000" w:themeColor="text1"/>
                      <w:sz w:val="21"/>
                      <w:szCs w:val="21"/>
                      <w:highlight w:val="none"/>
                      <w14:textFill>
                        <w14:solidFill>
                          <w14:schemeClr w14:val="tx1"/>
                        </w14:solidFill>
                      </w14:textFill>
                    </w:rPr>
                    <w:t>居民</w:t>
                  </w:r>
                </w:p>
              </w:tc>
              <w:tc>
                <w:tcPr>
                  <w:tcW w:w="1537" w:type="dxa"/>
                  <w:vAlign w:val="center"/>
                </w:tcPr>
                <w:p>
                  <w:pPr>
                    <w:pStyle w:val="69"/>
                    <w:adjustRightInd/>
                    <w:snapToGrid/>
                    <w:spacing w:beforeLines="0" w:afterLines="0" w:line="240" w:lineRule="auto"/>
                    <w:rPr>
                      <w:rFonts w:ascii="Times New Roman"/>
                      <w:color w:val="000000" w:themeColor="text1"/>
                      <w:szCs w:val="2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129.76354370</w:t>
                  </w:r>
                </w:p>
              </w:tc>
              <w:tc>
                <w:tcPr>
                  <w:tcW w:w="1485" w:type="dxa"/>
                  <w:vAlign w:val="center"/>
                </w:tcPr>
                <w:p>
                  <w:pPr>
                    <w:pStyle w:val="69"/>
                    <w:adjustRightInd/>
                    <w:snapToGrid/>
                    <w:spacing w:beforeLines="0" w:afterLines="0" w:line="240" w:lineRule="auto"/>
                    <w:rPr>
                      <w:rFonts w:ascii="Times New Roman"/>
                      <w:color w:val="000000" w:themeColor="text1"/>
                      <w:szCs w:val="2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49.18320595</w:t>
                  </w:r>
                </w:p>
              </w:tc>
              <w:tc>
                <w:tcPr>
                  <w:tcW w:w="903" w:type="dxa"/>
                  <w:shd w:val="clear" w:color="auto" w:fill="auto"/>
                  <w:vAlign w:val="center"/>
                </w:tcPr>
                <w:p>
                  <w:pPr>
                    <w:pStyle w:val="69"/>
                    <w:adjustRightInd/>
                    <w:snapToGrid/>
                    <w:spacing w:beforeLines="0" w:afterLines="0" w:line="240" w:lineRule="auto"/>
                    <w:rPr>
                      <w:rFonts w:ascii="Times New Roman"/>
                      <w:bCs/>
                      <w:color w:val="000000" w:themeColor="text1"/>
                      <w:kern w:val="2"/>
                      <w:szCs w:val="21"/>
                      <w:highlight w:val="none"/>
                      <w14:textFill>
                        <w14:solidFill>
                          <w14:schemeClr w14:val="tx1"/>
                        </w14:solidFill>
                      </w14:textFill>
                    </w:rPr>
                  </w:pPr>
                  <w:r>
                    <w:rPr>
                      <w:rFonts w:ascii="Times New Roman"/>
                      <w:bCs/>
                      <w:color w:val="000000" w:themeColor="text1"/>
                      <w:szCs w:val="21"/>
                      <w:highlight w:val="none"/>
                      <w14:textFill>
                        <w14:solidFill>
                          <w14:schemeClr w14:val="tx1"/>
                        </w14:solidFill>
                      </w14:textFill>
                    </w:rPr>
                    <w:t>农村地区中人群较集中的区域</w:t>
                  </w:r>
                </w:p>
              </w:tc>
              <w:tc>
                <w:tcPr>
                  <w:tcW w:w="739" w:type="dxa"/>
                  <w:vAlign w:val="center"/>
                </w:tcPr>
                <w:p>
                  <w:pPr>
                    <w:pStyle w:val="69"/>
                    <w:adjustRightInd/>
                    <w:snapToGrid/>
                    <w:spacing w:beforeLines="0" w:afterLines="0" w:line="240" w:lineRule="auto"/>
                    <w:rPr>
                      <w:rFonts w:ascii="Times New Roman"/>
                      <w:bCs/>
                      <w:color w:val="000000" w:themeColor="text1"/>
                      <w:kern w:val="2"/>
                      <w:szCs w:val="21"/>
                      <w:highlight w:val="none"/>
                      <w14:textFill>
                        <w14:solidFill>
                          <w14:schemeClr w14:val="tx1"/>
                        </w14:solidFill>
                      </w14:textFill>
                    </w:rPr>
                  </w:pPr>
                  <w:r>
                    <w:rPr>
                      <w:rFonts w:ascii="Times New Roman"/>
                      <w:bCs/>
                      <w:color w:val="000000" w:themeColor="text1"/>
                      <w:szCs w:val="21"/>
                      <w:highlight w:val="none"/>
                      <w14:textFill>
                        <w14:solidFill>
                          <w14:schemeClr w14:val="tx1"/>
                        </w14:solidFill>
                      </w14:textFill>
                    </w:rPr>
                    <w:t>人群</w:t>
                  </w:r>
                </w:p>
              </w:tc>
              <w:tc>
                <w:tcPr>
                  <w:tcW w:w="1037" w:type="dxa"/>
                  <w:vAlign w:val="center"/>
                </w:tcPr>
                <w:p>
                  <w:pPr>
                    <w:pStyle w:val="69"/>
                    <w:spacing w:before="24" w:after="24" w:line="240" w:lineRule="auto"/>
                    <w:ind w:left="-3" w:firstLine="3"/>
                    <w:rPr>
                      <w:rFonts w:ascii="Times New Roman"/>
                      <w:bCs/>
                      <w:color w:val="000000" w:themeColor="text1"/>
                      <w:szCs w:val="21"/>
                      <w:highlight w:val="none"/>
                      <w14:textFill>
                        <w14:solidFill>
                          <w14:schemeClr w14:val="tx1"/>
                        </w14:solidFill>
                      </w14:textFill>
                    </w:rPr>
                  </w:pPr>
                  <w:r>
                    <w:rPr>
                      <w:rFonts w:ascii="Times New Roman"/>
                      <w:bCs/>
                      <w:color w:val="000000" w:themeColor="text1"/>
                      <w:szCs w:val="21"/>
                      <w:highlight w:val="none"/>
                      <w14:textFill>
                        <w14:solidFill>
                          <w14:schemeClr w14:val="tx1"/>
                        </w14:solidFill>
                      </w14:textFill>
                    </w:rPr>
                    <w:t>二类区</w:t>
                  </w:r>
                </w:p>
              </w:tc>
              <w:tc>
                <w:tcPr>
                  <w:tcW w:w="887" w:type="dxa"/>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东</w:t>
                  </w:r>
                </w:p>
              </w:tc>
              <w:tc>
                <w:tcPr>
                  <w:tcW w:w="956" w:type="dxa"/>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86" w:type="dxa"/>
                  <w:vAlign w:val="center"/>
                </w:tcPr>
                <w:p>
                  <w:pPr>
                    <w:pStyle w:val="69"/>
                    <w:adjustRightInd/>
                    <w:snapToGrid/>
                    <w:spacing w:beforeLines="0" w:afterLines="0" w:line="240" w:lineRule="auto"/>
                    <w:rPr>
                      <w:rFonts w:hint="default" w:ascii="Times New Roman" w:eastAsia="宋体"/>
                      <w:color w:val="000000" w:themeColor="text1"/>
                      <w:szCs w:val="21"/>
                      <w:highlight w:val="none"/>
                      <w:lang w:val="en-US" w:eastAsia="zh-CN"/>
                      <w14:textFill>
                        <w14:solidFill>
                          <w14:schemeClr w14:val="tx1"/>
                        </w14:solidFill>
                      </w14:textFill>
                    </w:rPr>
                  </w:pPr>
                  <w:r>
                    <w:rPr>
                      <w:rFonts w:hint="eastAsia" w:ascii="Times New Roman"/>
                      <w:color w:val="000000" w:themeColor="text1"/>
                      <w:szCs w:val="21"/>
                      <w:highlight w:val="none"/>
                      <w:lang w:val="en-US" w:eastAsia="zh-CN"/>
                      <w14:textFill>
                        <w14:solidFill>
                          <w14:schemeClr w14:val="tx1"/>
                        </w14:solidFill>
                      </w14:textFill>
                    </w:rPr>
                    <w:t>向阳乡中心校</w:t>
                  </w:r>
                </w:p>
              </w:tc>
              <w:tc>
                <w:tcPr>
                  <w:tcW w:w="1537" w:type="dxa"/>
                  <w:vAlign w:val="center"/>
                </w:tcPr>
                <w:p>
                  <w:pPr>
                    <w:pStyle w:val="69"/>
                    <w:adjustRightInd/>
                    <w:snapToGrid/>
                    <w:spacing w:beforeLines="0" w:afterLines="0" w:line="240" w:lineRule="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129.76395086</w:t>
                  </w:r>
                </w:p>
              </w:tc>
              <w:tc>
                <w:tcPr>
                  <w:tcW w:w="1485" w:type="dxa"/>
                  <w:vAlign w:val="center"/>
                </w:tcPr>
                <w:p>
                  <w:pPr>
                    <w:pStyle w:val="69"/>
                    <w:adjustRightInd/>
                    <w:snapToGrid/>
                    <w:spacing w:beforeLines="0" w:afterLines="0" w:line="240" w:lineRule="auto"/>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49.18129114</w:t>
                  </w:r>
                </w:p>
              </w:tc>
              <w:tc>
                <w:tcPr>
                  <w:tcW w:w="903" w:type="dxa"/>
                  <w:shd w:val="clear" w:color="auto" w:fill="auto"/>
                  <w:vAlign w:val="center"/>
                </w:tcPr>
                <w:p>
                  <w:pPr>
                    <w:pStyle w:val="69"/>
                    <w:adjustRightInd/>
                    <w:snapToGrid/>
                    <w:spacing w:beforeLines="0" w:afterLines="0" w:line="240" w:lineRule="auto"/>
                    <w:rPr>
                      <w:rFonts w:hint="eastAsia" w:ascii="Times New Roman" w:eastAsia="宋体"/>
                      <w:bCs/>
                      <w:color w:val="000000" w:themeColor="text1"/>
                      <w:szCs w:val="21"/>
                      <w:highlight w:val="none"/>
                      <w:lang w:val="en-US" w:eastAsia="zh-CN"/>
                      <w14:textFill>
                        <w14:solidFill>
                          <w14:schemeClr w14:val="tx1"/>
                        </w14:solidFill>
                      </w14:textFill>
                    </w:rPr>
                  </w:pPr>
                  <w:r>
                    <w:rPr>
                      <w:rFonts w:hint="eastAsia" w:ascii="Times New Roman"/>
                      <w:bCs/>
                      <w:color w:val="000000" w:themeColor="text1"/>
                      <w:szCs w:val="21"/>
                      <w:highlight w:val="none"/>
                      <w:lang w:val="en-US" w:eastAsia="zh-CN"/>
                      <w14:textFill>
                        <w14:solidFill>
                          <w14:schemeClr w14:val="tx1"/>
                        </w14:solidFill>
                      </w14:textFill>
                    </w:rPr>
                    <w:t>文化区</w:t>
                  </w:r>
                </w:p>
              </w:tc>
              <w:tc>
                <w:tcPr>
                  <w:tcW w:w="739" w:type="dxa"/>
                  <w:shd w:val="clear" w:color="auto" w:fill="auto"/>
                  <w:vAlign w:val="center"/>
                </w:tcPr>
                <w:p>
                  <w:pPr>
                    <w:pStyle w:val="69"/>
                    <w:adjustRightInd/>
                    <w:snapToGrid/>
                    <w:spacing w:beforeLines="0" w:afterLines="0" w:line="240" w:lineRule="auto"/>
                    <w:rPr>
                      <w:rFonts w:ascii="Times New Roman"/>
                      <w:bCs/>
                      <w:color w:val="000000" w:themeColor="text1"/>
                      <w:kern w:val="2"/>
                      <w:szCs w:val="21"/>
                      <w:highlight w:val="none"/>
                      <w14:textFill>
                        <w14:solidFill>
                          <w14:schemeClr w14:val="tx1"/>
                        </w14:solidFill>
                      </w14:textFill>
                    </w:rPr>
                  </w:pPr>
                  <w:r>
                    <w:rPr>
                      <w:rFonts w:ascii="Times New Roman"/>
                      <w:bCs/>
                      <w:color w:val="000000" w:themeColor="text1"/>
                      <w:szCs w:val="21"/>
                      <w:highlight w:val="none"/>
                      <w14:textFill>
                        <w14:solidFill>
                          <w14:schemeClr w14:val="tx1"/>
                        </w14:solidFill>
                      </w14:textFill>
                    </w:rPr>
                    <w:t>人群</w:t>
                  </w:r>
                </w:p>
              </w:tc>
              <w:tc>
                <w:tcPr>
                  <w:tcW w:w="1037" w:type="dxa"/>
                  <w:shd w:val="clear" w:color="auto" w:fill="auto"/>
                  <w:vAlign w:val="center"/>
                </w:tcPr>
                <w:p>
                  <w:pPr>
                    <w:pStyle w:val="69"/>
                    <w:spacing w:before="24" w:after="24" w:line="240" w:lineRule="auto"/>
                    <w:ind w:left="-3" w:firstLine="3"/>
                    <w:rPr>
                      <w:rFonts w:ascii="Times New Roman"/>
                      <w:bCs/>
                      <w:color w:val="000000" w:themeColor="text1"/>
                      <w:szCs w:val="21"/>
                      <w:highlight w:val="none"/>
                      <w14:textFill>
                        <w14:solidFill>
                          <w14:schemeClr w14:val="tx1"/>
                        </w14:solidFill>
                      </w14:textFill>
                    </w:rPr>
                  </w:pPr>
                  <w:r>
                    <w:rPr>
                      <w:rFonts w:ascii="Times New Roman"/>
                      <w:bCs/>
                      <w:color w:val="000000" w:themeColor="text1"/>
                      <w:szCs w:val="21"/>
                      <w:highlight w:val="none"/>
                      <w14:textFill>
                        <w14:solidFill>
                          <w14:schemeClr w14:val="tx1"/>
                        </w14:solidFill>
                      </w14:textFill>
                    </w:rPr>
                    <w:t>二类区</w:t>
                  </w:r>
                </w:p>
              </w:tc>
              <w:tc>
                <w:tcPr>
                  <w:tcW w:w="887" w:type="dxa"/>
                  <w:shd w:val="clear" w:color="auto" w:fill="auto"/>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南</w:t>
                  </w:r>
                </w:p>
              </w:tc>
              <w:tc>
                <w:tcPr>
                  <w:tcW w:w="956" w:type="dxa"/>
                  <w:shd w:val="clear" w:color="auto" w:fill="auto"/>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155</w:t>
                  </w:r>
                </w:p>
              </w:tc>
            </w:tr>
          </w:tbl>
          <w:p>
            <w:pPr>
              <w:spacing w:line="360" w:lineRule="auto"/>
              <w:ind w:firstLine="498" w:firstLineChars="200"/>
              <w:rPr>
                <w:color w:val="000000" w:themeColor="text1"/>
                <w:spacing w:val="4"/>
                <w:sz w:val="24"/>
                <w:highlight w:val="none"/>
                <w14:textFill>
                  <w14:solidFill>
                    <w14:schemeClr w14:val="tx1"/>
                  </w14:solidFill>
                </w14:textFill>
              </w:rPr>
            </w:pPr>
            <w:r>
              <w:rPr>
                <w:rFonts w:hint="eastAsia"/>
                <w:b/>
                <w:bCs/>
                <w:color w:val="000000" w:themeColor="text1"/>
                <w:spacing w:val="4"/>
                <w:sz w:val="24"/>
                <w:highlight w:val="none"/>
                <w:lang w:val="en-US" w:eastAsia="zh-CN"/>
                <w14:textFill>
                  <w14:solidFill>
                    <w14:schemeClr w14:val="tx1"/>
                  </w14:solidFill>
                </w14:textFill>
              </w:rPr>
              <w:t>2</w:t>
            </w:r>
            <w:r>
              <w:rPr>
                <w:b/>
                <w:bCs/>
                <w:color w:val="000000" w:themeColor="text1"/>
                <w:spacing w:val="4"/>
                <w:sz w:val="24"/>
                <w:highlight w:val="none"/>
                <w14:textFill>
                  <w14:solidFill>
                    <w14:schemeClr w14:val="tx1"/>
                  </w14:solidFill>
                </w14:textFill>
              </w:rPr>
              <w:t>、声环境保护目标</w:t>
            </w:r>
            <w:r>
              <w:rPr>
                <w:color w:val="000000" w:themeColor="text1"/>
                <w:spacing w:val="4"/>
                <w:sz w:val="24"/>
                <w:highlight w:val="none"/>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pacing w:val="4"/>
                <w:kern w:val="2"/>
                <w:sz w:val="24"/>
                <w:szCs w:val="24"/>
                <w:highlight w:val="none"/>
                <w:lang w:val="en-US" w:eastAsia="zh-CN" w:bidi="ar-SA"/>
              </w:rPr>
            </w:pPr>
            <w:r>
              <w:rPr>
                <w:rFonts w:hint="eastAsia" w:ascii="Times New Roman" w:hAnsi="Times New Roman" w:eastAsia="宋体" w:cs="Times New Roman"/>
                <w:color w:val="auto"/>
                <w:spacing w:val="4"/>
                <w:kern w:val="2"/>
                <w:sz w:val="24"/>
                <w:szCs w:val="24"/>
                <w:highlight w:val="none"/>
                <w:lang w:val="en-US" w:eastAsia="zh-CN" w:bidi="ar-SA"/>
              </w:rPr>
              <w:t>本项目50m范围内声环境保护目标见下表</w:t>
            </w:r>
          </w:p>
          <w:p>
            <w:pPr>
              <w:jc w:val="center"/>
              <w:rPr>
                <w:b/>
                <w:bCs/>
                <w:color w:val="auto"/>
                <w:sz w:val="21"/>
                <w:szCs w:val="21"/>
                <w:highlight w:val="none"/>
              </w:rPr>
            </w:pPr>
            <w:r>
              <w:rPr>
                <w:b/>
                <w:bCs/>
                <w:color w:val="auto"/>
                <w:sz w:val="21"/>
                <w:szCs w:val="21"/>
                <w:highlight w:val="none"/>
              </w:rPr>
              <w:t>表</w:t>
            </w:r>
            <w:r>
              <w:rPr>
                <w:rFonts w:hint="eastAsia"/>
                <w:b/>
                <w:bCs/>
                <w:color w:val="auto"/>
                <w:sz w:val="21"/>
                <w:szCs w:val="21"/>
                <w:highlight w:val="none"/>
              </w:rPr>
              <w:t>3-</w:t>
            </w:r>
            <w:r>
              <w:rPr>
                <w:rFonts w:hint="eastAsia"/>
                <w:b/>
                <w:bCs/>
                <w:color w:val="auto"/>
                <w:sz w:val="21"/>
                <w:szCs w:val="21"/>
                <w:highlight w:val="none"/>
                <w:lang w:val="en-US" w:eastAsia="zh-CN"/>
              </w:rPr>
              <w:t>6</w:t>
            </w:r>
            <w:r>
              <w:rPr>
                <w:b/>
                <w:bCs/>
                <w:color w:val="auto"/>
                <w:sz w:val="21"/>
                <w:szCs w:val="21"/>
                <w:highlight w:val="none"/>
              </w:rPr>
              <w:t xml:space="preserve"> </w:t>
            </w:r>
            <w:r>
              <w:rPr>
                <w:rFonts w:hint="eastAsia"/>
                <w:b/>
                <w:bCs/>
                <w:color w:val="auto"/>
                <w:sz w:val="21"/>
                <w:szCs w:val="21"/>
                <w:highlight w:val="none"/>
              </w:rPr>
              <w:t>声</w:t>
            </w:r>
            <w:r>
              <w:rPr>
                <w:b/>
                <w:bCs/>
                <w:color w:val="auto"/>
                <w:sz w:val="21"/>
                <w:szCs w:val="21"/>
                <w:highlight w:val="none"/>
              </w:rPr>
              <w:t>环境保护目标</w:t>
            </w:r>
          </w:p>
          <w:tbl>
            <w:tblPr>
              <w:tblStyle w:val="36"/>
              <w:tblW w:w="873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2009"/>
              <w:gridCol w:w="1064"/>
              <w:gridCol w:w="863"/>
              <w:gridCol w:w="954"/>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trPr>
              <w:tc>
                <w:tcPr>
                  <w:tcW w:w="117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环境元素</w:t>
                  </w:r>
                </w:p>
              </w:tc>
              <w:tc>
                <w:tcPr>
                  <w:tcW w:w="200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环境保护目标</w:t>
                  </w:r>
                </w:p>
              </w:tc>
              <w:tc>
                <w:tcPr>
                  <w:tcW w:w="10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方位</w:t>
                  </w:r>
                </w:p>
              </w:tc>
              <w:tc>
                <w:tcPr>
                  <w:tcW w:w="8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Cs w:val="21"/>
                      <w:highlight w:val="none"/>
                      <w:lang w:eastAsia="zh-CN"/>
                    </w:rPr>
                  </w:pPr>
                  <w:r>
                    <w:rPr>
                      <w:color w:val="auto"/>
                      <w:szCs w:val="21"/>
                      <w:highlight w:val="none"/>
                    </w:rPr>
                    <w:t>距离</w:t>
                  </w:r>
                </w:p>
              </w:tc>
              <w:tc>
                <w:tcPr>
                  <w:tcW w:w="95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highlight w:val="none"/>
                    </w:rPr>
                  </w:pPr>
                  <w:r>
                    <w:rPr>
                      <w:rFonts w:hint="eastAsia"/>
                      <w:color w:val="auto"/>
                      <w:szCs w:val="21"/>
                      <w:highlight w:val="none"/>
                    </w:rPr>
                    <w:t>人数</w:t>
                  </w:r>
                </w:p>
              </w:tc>
              <w:tc>
                <w:tcPr>
                  <w:tcW w:w="26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环境保护级别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177"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声环境</w:t>
                  </w:r>
                </w:p>
              </w:tc>
              <w:tc>
                <w:tcPr>
                  <w:tcW w:w="2009" w:type="dxa"/>
                  <w:vMerge w:val="restart"/>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向阳乡</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农村</w:t>
                  </w:r>
                  <w:r>
                    <w:rPr>
                      <w:rFonts w:hint="eastAsia" w:ascii="Times New Roman" w:hAnsi="Times New Roman" w:eastAsia="宋体"/>
                      <w:color w:val="000000" w:themeColor="text1"/>
                      <w:sz w:val="21"/>
                      <w:szCs w:val="21"/>
                      <w:highlight w:val="none"/>
                      <w14:textFill>
                        <w14:solidFill>
                          <w14:schemeClr w14:val="tx1"/>
                        </w14:solidFill>
                      </w14:textFill>
                    </w:rPr>
                    <w:t>居民</w:t>
                  </w:r>
                </w:p>
              </w:tc>
              <w:tc>
                <w:tcPr>
                  <w:tcW w:w="10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s="Times New Roman"/>
                      <w:color w:val="auto"/>
                      <w:highlight w:val="none"/>
                      <w:lang w:val="en-US" w:eastAsia="zh-CN"/>
                    </w:rPr>
                    <w:t>北</w:t>
                  </w:r>
                </w:p>
              </w:tc>
              <w:tc>
                <w:tcPr>
                  <w:tcW w:w="8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s="Times New Roman"/>
                      <w:color w:val="auto"/>
                      <w:szCs w:val="21"/>
                      <w:highlight w:val="none"/>
                      <w:lang w:val="en-US" w:eastAsia="zh-CN"/>
                    </w:rPr>
                    <w:t>15</w:t>
                  </w:r>
                </w:p>
              </w:tc>
              <w:tc>
                <w:tcPr>
                  <w:tcW w:w="95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rPr>
                  </w:pPr>
                  <w:r>
                    <w:rPr>
                      <w:rFonts w:hint="eastAsia"/>
                      <w:color w:val="auto"/>
                      <w:szCs w:val="21"/>
                      <w:highlight w:val="none"/>
                      <w:lang w:val="en-US" w:eastAsia="zh-CN"/>
                    </w:rPr>
                    <w:t>10</w:t>
                  </w:r>
                </w:p>
              </w:tc>
              <w:tc>
                <w:tcPr>
                  <w:tcW w:w="26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《声环境质量标准》（GB3096-2008）</w:t>
                  </w:r>
                  <w:r>
                    <w:rPr>
                      <w:rFonts w:hint="eastAsia"/>
                      <w:color w:val="auto"/>
                      <w:szCs w:val="21"/>
                      <w:highlight w:val="none"/>
                      <w:lang w:val="en-US" w:eastAsia="zh-CN"/>
                    </w:rPr>
                    <w:t>2</w:t>
                  </w:r>
                  <w:r>
                    <w:rPr>
                      <w:color w:val="auto"/>
                      <w:szCs w:val="21"/>
                      <w:highlight w:val="none"/>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17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2009" w:type="dxa"/>
                  <w:vMerge w:val="continue"/>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p>
              </w:tc>
              <w:tc>
                <w:tcPr>
                  <w:tcW w:w="10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西</w:t>
                  </w:r>
                </w:p>
              </w:tc>
              <w:tc>
                <w:tcPr>
                  <w:tcW w:w="8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30</w:t>
                  </w:r>
                </w:p>
              </w:tc>
              <w:tc>
                <w:tcPr>
                  <w:tcW w:w="95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10</w:t>
                  </w:r>
                </w:p>
              </w:tc>
              <w:tc>
                <w:tcPr>
                  <w:tcW w:w="2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17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2009" w:type="dxa"/>
                  <w:vMerge w:val="continue"/>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p>
              </w:tc>
              <w:tc>
                <w:tcPr>
                  <w:tcW w:w="10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东</w:t>
                  </w:r>
                </w:p>
              </w:tc>
              <w:tc>
                <w:tcPr>
                  <w:tcW w:w="8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15</w:t>
                  </w:r>
                </w:p>
              </w:tc>
              <w:tc>
                <w:tcPr>
                  <w:tcW w:w="95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15</w:t>
                  </w:r>
                </w:p>
              </w:tc>
              <w:tc>
                <w:tcPr>
                  <w:tcW w:w="2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177"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2009" w:type="dxa"/>
                  <w:vMerge w:val="continue"/>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p>
              </w:tc>
              <w:tc>
                <w:tcPr>
                  <w:tcW w:w="106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南</w:t>
                  </w:r>
                </w:p>
              </w:tc>
              <w:tc>
                <w:tcPr>
                  <w:tcW w:w="8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c>
                <w:tcPr>
                  <w:tcW w:w="95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highlight w:val="none"/>
                      <w:lang w:val="en-US" w:eastAsia="zh-CN"/>
                    </w:rPr>
                  </w:pPr>
                  <w:r>
                    <w:rPr>
                      <w:rFonts w:hint="eastAsia"/>
                      <w:color w:val="auto"/>
                      <w:szCs w:val="21"/>
                      <w:highlight w:val="none"/>
                      <w:lang w:val="en-US" w:eastAsia="zh-CN"/>
                    </w:rPr>
                    <w:t>30</w:t>
                  </w:r>
                </w:p>
              </w:tc>
              <w:tc>
                <w:tcPr>
                  <w:tcW w:w="26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r>
          </w:tbl>
          <w:p>
            <w:pPr>
              <w:pStyle w:val="29"/>
              <w:spacing w:line="360" w:lineRule="auto"/>
              <w:ind w:left="0" w:leftChars="0" w:firstLine="498" w:firstLineChars="200"/>
              <w:rPr>
                <w:color w:val="000000" w:themeColor="text1"/>
                <w:spacing w:val="4"/>
                <w:sz w:val="24"/>
                <w14:textFill>
                  <w14:solidFill>
                    <w14:schemeClr w14:val="tx1"/>
                  </w14:solidFill>
                </w14:textFill>
              </w:rPr>
            </w:pPr>
            <w:r>
              <w:rPr>
                <w:rFonts w:hint="eastAsia"/>
                <w:b/>
                <w:bCs/>
                <w:color w:val="000000" w:themeColor="text1"/>
                <w:spacing w:val="4"/>
                <w:sz w:val="24"/>
                <w:lang w:val="en-US" w:eastAsia="zh-CN"/>
                <w14:textFill>
                  <w14:solidFill>
                    <w14:schemeClr w14:val="tx1"/>
                  </w14:solidFill>
                </w14:textFill>
              </w:rPr>
              <w:t>3</w:t>
            </w:r>
            <w:r>
              <w:rPr>
                <w:b/>
                <w:bCs/>
                <w:color w:val="000000" w:themeColor="text1"/>
                <w:spacing w:val="4"/>
                <w:sz w:val="24"/>
                <w14:textFill>
                  <w14:solidFill>
                    <w14:schemeClr w14:val="tx1"/>
                  </w14:solidFill>
                </w14:textFill>
              </w:rPr>
              <w:t>、地下水保护目标</w:t>
            </w:r>
            <w:r>
              <w:rPr>
                <w:color w:val="000000" w:themeColor="text1"/>
                <w:spacing w:val="4"/>
                <w:sz w:val="24"/>
                <w14:textFill>
                  <w14:solidFill>
                    <w14:schemeClr w14:val="tx1"/>
                  </w14:solidFill>
                </w14:textFill>
              </w:rPr>
              <w:t>：</w:t>
            </w:r>
            <w:r>
              <w:rPr>
                <w:bCs/>
                <w:color w:val="000000" w:themeColor="text1"/>
                <w:sz w:val="24"/>
                <w14:textFill>
                  <w14:solidFill>
                    <w14:schemeClr w14:val="tx1"/>
                  </w14:solidFill>
                </w14:textFill>
              </w:rPr>
              <w:t>本项目</w:t>
            </w:r>
            <w:r>
              <w:rPr>
                <w:color w:val="000000" w:themeColor="text1"/>
                <w:spacing w:val="4"/>
                <w:sz w:val="24"/>
                <w14:textFill>
                  <w14:solidFill>
                    <w14:schemeClr w14:val="tx1"/>
                  </w14:solidFill>
                </w14:textFill>
              </w:rPr>
              <w:t>厂界外500m范围内无地下水集中式饮用水水源和热水、矿泉水、温泉等特殊地下水资源。</w:t>
            </w:r>
          </w:p>
          <w:p>
            <w:pPr>
              <w:adjustRightInd w:val="0"/>
              <w:snapToGrid w:val="0"/>
              <w:spacing w:line="240" w:lineRule="auto"/>
              <w:ind w:firstLine="480" w:firstLineChars="200"/>
              <w:jc w:val="center"/>
              <w:rPr>
                <w:color w:val="000000" w:themeColor="text1"/>
                <w14:textFill>
                  <w14:solidFill>
                    <w14:schemeClr w14:val="tx1"/>
                  </w14:solidFill>
                </w14:textFill>
              </w:rPr>
            </w:pPr>
            <w:r>
              <w:rPr>
                <w:sz w:val="24"/>
              </w:rPr>
              <mc:AlternateContent>
                <mc:Choice Requires="wps">
                  <w:drawing>
                    <wp:anchor distT="0" distB="0" distL="114300" distR="114300" simplePos="0" relativeHeight="251679744" behindDoc="0" locked="0" layoutInCell="1" allowOverlap="1">
                      <wp:simplePos x="0" y="0"/>
                      <wp:positionH relativeFrom="column">
                        <wp:posOffset>4560570</wp:posOffset>
                      </wp:positionH>
                      <wp:positionV relativeFrom="paragraph">
                        <wp:posOffset>3776980</wp:posOffset>
                      </wp:positionV>
                      <wp:extent cx="184785" cy="137795"/>
                      <wp:effectExtent l="12700" t="12700" r="18415" b="14605"/>
                      <wp:wrapNone/>
                      <wp:docPr id="38" name="矩形 38"/>
                      <wp:cNvGraphicFramePr/>
                      <a:graphic xmlns:a="http://schemas.openxmlformats.org/drawingml/2006/main">
                        <a:graphicData uri="http://schemas.microsoft.com/office/word/2010/wordprocessingShape">
                          <wps:wsp>
                            <wps:cNvSpPr/>
                            <wps:spPr>
                              <a:xfrm>
                                <a:off x="5788660" y="7150100"/>
                                <a:ext cx="184785" cy="137795"/>
                              </a:xfrm>
                              <a:prstGeom prst="rect">
                                <a:avLst/>
                              </a:prstGeom>
                              <a:solidFill>
                                <a:schemeClr val="bg1"/>
                              </a:solid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1pt;margin-top:297.4pt;height:10.85pt;width:14.55pt;z-index:251679744;v-text-anchor:middle;mso-width-relative:page;mso-height-relative:page;" fillcolor="#FFFFFF [3212]" filled="t" stroked="t" coordsize="21600,21600" o:gfxdata="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Zscqt0AAAALAQAADwAAAAAAAAABACAAAAAiAAAAZHJzL2Rvd25yZXYueG1sUEsBAhQAFAAAAAgA&#10;h07iQPyEetVZAgAAnAQAAA4AAAAAAAAAAQAgAAAALAEAAGRycy9lMm9Eb2MueG1sUEsFBgAAAAAG&#10;AAYAWQEAAPcFAAAAAA==&#10;">
                      <v:fill on="t" focussize="0,0"/>
                      <v:stroke weight="2pt" color="#7030A0 [2404]" joinstyle="round"/>
                      <v:imagedata o:title=""/>
                      <o:lock v:ext="edit" aspectratio="f"/>
                    </v:rect>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1216025</wp:posOffset>
                      </wp:positionH>
                      <wp:positionV relativeFrom="paragraph">
                        <wp:posOffset>601980</wp:posOffset>
                      </wp:positionV>
                      <wp:extent cx="2222500" cy="2941955"/>
                      <wp:effectExtent l="12700" t="12700" r="12700" b="17145"/>
                      <wp:wrapNone/>
                      <wp:docPr id="36" name="任意多边形 36"/>
                      <wp:cNvGraphicFramePr/>
                      <a:graphic xmlns:a="http://schemas.openxmlformats.org/drawingml/2006/main">
                        <a:graphicData uri="http://schemas.microsoft.com/office/word/2010/wordprocessingShape">
                          <wps:wsp>
                            <wps:cNvSpPr/>
                            <wps:spPr>
                              <a:xfrm>
                                <a:off x="2444115" y="3975100"/>
                                <a:ext cx="2222500" cy="2941955"/>
                              </a:xfrm>
                              <a:custGeom>
                                <a:avLst/>
                                <a:gdLst>
                                  <a:gd name="connisteX0" fmla="*/ 550545 w 2222500"/>
                                  <a:gd name="connsiteY0" fmla="*/ 1376045 h 2941955"/>
                                  <a:gd name="connisteX1" fmla="*/ 1000125 w 2222500"/>
                                  <a:gd name="connsiteY1" fmla="*/ 1301750 h 2941955"/>
                                  <a:gd name="connisteX2" fmla="*/ 1031875 w 2222500"/>
                                  <a:gd name="connsiteY2" fmla="*/ 1645920 h 2941955"/>
                                  <a:gd name="connisteX3" fmla="*/ 777875 w 2222500"/>
                                  <a:gd name="connsiteY3" fmla="*/ 1709420 h 2941955"/>
                                  <a:gd name="connisteX4" fmla="*/ 952500 w 2222500"/>
                                  <a:gd name="connsiteY4" fmla="*/ 2550795 h 2941955"/>
                                  <a:gd name="connisteX5" fmla="*/ 1021080 w 2222500"/>
                                  <a:gd name="connsiteY5" fmla="*/ 2941955 h 2941955"/>
                                  <a:gd name="connisteX6" fmla="*/ 1746250 w 2222500"/>
                                  <a:gd name="connsiteY6" fmla="*/ 2619375 h 2941955"/>
                                  <a:gd name="connisteX7" fmla="*/ 2148205 w 2222500"/>
                                  <a:gd name="connsiteY7" fmla="*/ 2079625 h 2941955"/>
                                  <a:gd name="connisteX8" fmla="*/ 2222500 w 2222500"/>
                                  <a:gd name="connsiteY8" fmla="*/ 1285875 h 2941955"/>
                                  <a:gd name="connisteX9" fmla="*/ 1539875 w 2222500"/>
                                  <a:gd name="connsiteY9" fmla="*/ 185420 h 2941955"/>
                                  <a:gd name="connisteX10" fmla="*/ 1058545 w 2222500"/>
                                  <a:gd name="connsiteY10" fmla="*/ 0 h 2941955"/>
                                  <a:gd name="connisteX11" fmla="*/ 528955 w 2222500"/>
                                  <a:gd name="connsiteY11" fmla="*/ 47625 h 2941955"/>
                                  <a:gd name="connisteX12" fmla="*/ 338455 w 2222500"/>
                                  <a:gd name="connsiteY12" fmla="*/ 201295 h 2941955"/>
                                  <a:gd name="connisteX13" fmla="*/ 0 w 2222500"/>
                                  <a:gd name="connsiteY13" fmla="*/ 576580 h 2941955"/>
                                  <a:gd name="connisteX14" fmla="*/ 84455 w 2222500"/>
                                  <a:gd name="connsiteY14" fmla="*/ 1132205 h 2941955"/>
                                  <a:gd name="connisteX15" fmla="*/ 401955 w 2222500"/>
                                  <a:gd name="connsiteY15" fmla="*/ 1116330 h 2941955"/>
                                  <a:gd name="connisteX16" fmla="*/ 629920 w 2222500"/>
                                  <a:gd name="connsiteY16" fmla="*/ 1322705 h 2941955"/>
                                  <a:gd name="connisteX17" fmla="*/ 550545 w 2222500"/>
                                  <a:gd name="connsiteY17" fmla="*/ 1376045 h 29419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Lst>
                                <a:rect l="l" t="t" r="r" b="b"/>
                                <a:pathLst>
                                  <a:path w="2222500" h="2941955">
                                    <a:moveTo>
                                      <a:pt x="550545" y="1376045"/>
                                    </a:moveTo>
                                    <a:lnTo>
                                      <a:pt x="1000125" y="1301750"/>
                                    </a:lnTo>
                                    <a:lnTo>
                                      <a:pt x="1031875" y="1645920"/>
                                    </a:lnTo>
                                    <a:lnTo>
                                      <a:pt x="777875" y="1709420"/>
                                    </a:lnTo>
                                    <a:lnTo>
                                      <a:pt x="952500" y="2550795"/>
                                    </a:lnTo>
                                    <a:lnTo>
                                      <a:pt x="1021080" y="2941955"/>
                                    </a:lnTo>
                                    <a:lnTo>
                                      <a:pt x="1746250" y="2619375"/>
                                    </a:lnTo>
                                    <a:lnTo>
                                      <a:pt x="2148205" y="2079625"/>
                                    </a:lnTo>
                                    <a:lnTo>
                                      <a:pt x="2222500" y="1285875"/>
                                    </a:lnTo>
                                    <a:lnTo>
                                      <a:pt x="1539875" y="185420"/>
                                    </a:lnTo>
                                    <a:lnTo>
                                      <a:pt x="1058545" y="0"/>
                                    </a:lnTo>
                                    <a:lnTo>
                                      <a:pt x="528955" y="47625"/>
                                    </a:lnTo>
                                    <a:lnTo>
                                      <a:pt x="338455" y="201295"/>
                                    </a:lnTo>
                                    <a:lnTo>
                                      <a:pt x="0" y="576580"/>
                                    </a:lnTo>
                                    <a:lnTo>
                                      <a:pt x="84455" y="1132205"/>
                                    </a:lnTo>
                                    <a:lnTo>
                                      <a:pt x="401955" y="1116330"/>
                                    </a:lnTo>
                                    <a:lnTo>
                                      <a:pt x="629920" y="1322705"/>
                                    </a:lnTo>
                                    <a:lnTo>
                                      <a:pt x="550545" y="1376045"/>
                                    </a:lnTo>
                                    <a:close/>
                                  </a:path>
                                </a:pathLst>
                              </a:cu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95.75pt;margin-top:47.4pt;height:231.65pt;width:175pt;z-index:251678720;mso-width-relative:page;mso-height-relative:page;" filled="f" stroked="t" coordsize="2222500,2941955" o:gfxdata="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" path="m550545,1376045l1000125,1301750,1031875,1645920,777875,1709420,952500,2550795,1021080,2941955,1746250,2619375,2148205,2079625,2222500,1285875,1539875,185420,1058545,0,528955,47625,338455,201295,0,576580,84455,1132205,401955,1116330,629920,1322705,550545,1376045xe">
                      <v:path o:connectlocs="550545,1376045;1000125,1301750;1031875,1645920;777875,1709420;952500,2550795;1021080,2941955;1746250,2619375;2148205,2079625;2222500,1285875;1539875,185420;1058545,0;528955,47625;338455,201295;0,576580;84455,1132205;401955,1116330;629920,1322705;550545,1376045" o:connectangles="0,0,0,0,0,0,0,0,0,0,0,0,0,0,0,0,0,0"/>
                      <v:fill on="f" focussize="0,0"/>
                      <v:stroke weight="2pt" color="#7030A0 [2404]" joinstyle="round"/>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639445</wp:posOffset>
                      </wp:positionH>
                      <wp:positionV relativeFrom="paragraph">
                        <wp:posOffset>2021205</wp:posOffset>
                      </wp:positionV>
                      <wp:extent cx="1327785" cy="1285875"/>
                      <wp:effectExtent l="12700" t="12700" r="18415" b="22225"/>
                      <wp:wrapNone/>
                      <wp:docPr id="19" name="任意多边形 19"/>
                      <wp:cNvGraphicFramePr/>
                      <a:graphic xmlns:a="http://schemas.openxmlformats.org/drawingml/2006/main">
                        <a:graphicData uri="http://schemas.microsoft.com/office/word/2010/wordprocessingShape">
                          <wps:wsp>
                            <wps:cNvSpPr/>
                            <wps:spPr>
                              <a:xfrm>
                                <a:off x="1867535" y="5394325"/>
                                <a:ext cx="1327785" cy="1285875"/>
                              </a:xfrm>
                              <a:custGeom>
                                <a:avLst/>
                                <a:gdLst>
                                  <a:gd name="connisteX0" fmla="*/ 1057910 w 1327785"/>
                                  <a:gd name="connsiteY0" fmla="*/ 31750 h 1285875"/>
                                  <a:gd name="connisteX1" fmla="*/ 0 w 1327785"/>
                                  <a:gd name="connsiteY1" fmla="*/ 243205 h 1285875"/>
                                  <a:gd name="connisteX2" fmla="*/ 89535 w 1327785"/>
                                  <a:gd name="connsiteY2" fmla="*/ 645160 h 1285875"/>
                                  <a:gd name="connisteX3" fmla="*/ 508000 w 1327785"/>
                                  <a:gd name="connsiteY3" fmla="*/ 502285 h 1285875"/>
                                  <a:gd name="connisteX4" fmla="*/ 909955 w 1327785"/>
                                  <a:gd name="connsiteY4" fmla="*/ 1285875 h 1285875"/>
                                  <a:gd name="connisteX5" fmla="*/ 1200785 w 1327785"/>
                                  <a:gd name="connsiteY5" fmla="*/ 1275080 h 1285875"/>
                                  <a:gd name="connisteX6" fmla="*/ 1232535 w 1327785"/>
                                  <a:gd name="connsiteY6" fmla="*/ 835660 h 1285875"/>
                                  <a:gd name="connisteX7" fmla="*/ 1132205 w 1327785"/>
                                  <a:gd name="connsiteY7" fmla="*/ 513080 h 1285875"/>
                                  <a:gd name="connisteX8" fmla="*/ 1327785 w 1327785"/>
                                  <a:gd name="connsiteY8" fmla="*/ 444500 h 1285875"/>
                                  <a:gd name="connisteX9" fmla="*/ 1222375 w 1327785"/>
                                  <a:gd name="connsiteY9" fmla="*/ 0 h 1285875"/>
                                  <a:gd name="connisteX10" fmla="*/ 1016000 w 1327785"/>
                                  <a:gd name="connsiteY10" fmla="*/ 31750 h 12858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1327785" h="1285875">
                                    <a:moveTo>
                                      <a:pt x="1057910" y="31750"/>
                                    </a:moveTo>
                                    <a:lnTo>
                                      <a:pt x="0" y="243205"/>
                                    </a:lnTo>
                                    <a:lnTo>
                                      <a:pt x="89535" y="645160"/>
                                    </a:lnTo>
                                    <a:lnTo>
                                      <a:pt x="508000" y="502285"/>
                                    </a:lnTo>
                                    <a:lnTo>
                                      <a:pt x="909955" y="1285875"/>
                                    </a:lnTo>
                                    <a:lnTo>
                                      <a:pt x="1200785" y="1275080"/>
                                    </a:lnTo>
                                    <a:lnTo>
                                      <a:pt x="1232535" y="835660"/>
                                    </a:lnTo>
                                    <a:lnTo>
                                      <a:pt x="1132205" y="513080"/>
                                    </a:lnTo>
                                    <a:lnTo>
                                      <a:pt x="1327785" y="444500"/>
                                    </a:lnTo>
                                    <a:lnTo>
                                      <a:pt x="1222375" y="0"/>
                                    </a:lnTo>
                                    <a:lnTo>
                                      <a:pt x="1016000" y="31750"/>
                                    </a:lnTo>
                                  </a:path>
                                </a:pathLst>
                              </a:cu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0.35pt;margin-top:159.15pt;height:101.25pt;width:104.55pt;z-index:251677696;mso-width-relative:page;mso-height-relative:page;" filled="f" stroked="t" coordsize="1327785,1285875" o:gfxdata="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L6gCpPYAAAACwEAAA8AAAAAAAAAAQAg&#10;AAAAIgAAAGRycy9kb3ducmV2LnhtbFBLAQIUABQAAAAIAIdO4kAq+er11gMAAPkMAAAOAAAAAAAA&#10;AAEAIAAAACcBAABkcnMvZTJvRG9jLnhtbFBLBQYAAAAABgAGAFkBAABvBwAAAAA=&#10;" path="m1057910,31750l0,243205,89535,645160,508000,502285,909955,1285875,1200785,1275080,1232535,835660,1132205,513080,1327785,444500,1222375,0,1016000,31750e">
                      <v:path o:connectlocs="1057910,31750;0,243205;89535,645160;508000,502285;909955,1285875;1200785,1275080;1232535,835660;1132205,513080;1327785,444500;1222375,0;1016000,31750" o:connectangles="0,0,0,0,0,0,0,0,0,0,0"/>
                      <v:fill on="f" focussize="0,0"/>
                      <v:stroke weight="2pt" color="#7030A0 [2404]" joinstyle="round"/>
                      <v:imagedata o:title=""/>
                      <o:lock v:ext="edit" aspectratio="f"/>
                    </v:shape>
                  </w:pict>
                </mc:Fallback>
              </mc:AlternateContent>
            </w:r>
            <w:r>
              <w:rPr>
                <w:rFonts w:hint="eastAsia"/>
                <w:color w:val="000000" w:themeColor="text1"/>
                <w:sz w:val="24"/>
                <w14:textFill>
                  <w14:solidFill>
                    <w14:schemeClr w14:val="tx1"/>
                  </w14:solidFill>
                </w14:textFill>
              </w:rPr>
              <w:drawing>
                <wp:anchor distT="0" distB="0" distL="114300" distR="114300" simplePos="0" relativeHeight="251661312" behindDoc="0" locked="0" layoutInCell="1" allowOverlap="1">
                  <wp:simplePos x="0" y="0"/>
                  <wp:positionH relativeFrom="column">
                    <wp:posOffset>4599305</wp:posOffset>
                  </wp:positionH>
                  <wp:positionV relativeFrom="paragraph">
                    <wp:posOffset>43815</wp:posOffset>
                  </wp:positionV>
                  <wp:extent cx="966470" cy="1064895"/>
                  <wp:effectExtent l="0" t="0" r="5080" b="1905"/>
                  <wp:wrapNone/>
                  <wp:docPr id="2" name="图片 6" descr="ccff2cfdb4e5c4eb98dd252b682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cff2cfdb4e5c4eb98dd252b68231328"/>
                          <pic:cNvPicPr>
                            <a:picLocks noChangeAspect="1"/>
                          </pic:cNvPicPr>
                        </pic:nvPicPr>
                        <pic:blipFill>
                          <a:blip r:embed="rId15"/>
                          <a:stretch>
                            <a:fillRect/>
                          </a:stretch>
                        </pic:blipFill>
                        <pic:spPr>
                          <a:xfrm>
                            <a:off x="0" y="0"/>
                            <a:ext cx="966470" cy="1064895"/>
                          </a:xfrm>
                          <a:prstGeom prst="rect">
                            <a:avLst/>
                          </a:prstGeom>
                          <a:noFill/>
                          <a:ln>
                            <a:noFill/>
                          </a:ln>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2305685</wp:posOffset>
                      </wp:positionH>
                      <wp:positionV relativeFrom="paragraph">
                        <wp:posOffset>3511550</wp:posOffset>
                      </wp:positionV>
                      <wp:extent cx="0" cy="0"/>
                      <wp:effectExtent l="0" t="0" r="0" b="0"/>
                      <wp:wrapNone/>
                      <wp:docPr id="14" name="直接连接符 14"/>
                      <wp:cNvGraphicFramePr/>
                      <a:graphic xmlns:a="http://schemas.openxmlformats.org/drawingml/2006/main">
                        <a:graphicData uri="http://schemas.microsoft.com/office/word/2010/wordprocessingShape">
                          <wps:wsp>
                            <wps:cNvCnPr/>
                            <wps:spPr>
                              <a:xfrm>
                                <a:off x="3533775" y="7960360"/>
                                <a:ext cx="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1.55pt;margin-top:276.5pt;height:0pt;width:0pt;z-index:251676672;mso-width-relative:page;mso-height-relative:page;" filled="f" stroked="t" coordsize="21600,21600" o:gfxdata="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HmAJ0gAAAAsBAAAPAAAAAAAAAAEAIAAAACIAAABkcnMvZG93bnJl&#10;di54bWxQSwECFAAUAAAACACHTuJAoRWQccoBAABVAwAADgAAAAAAAAABACAAAAAhAQAAZHJzL2Uy&#10;b0RvYy54bWxQSwUGAAAAAAYABgBZAQAAXQUAAAAA&#10;">
                      <v:fill on="f" focussize="0,0"/>
                      <v:stroke weight="2pt" color="#4F81BD [3204]" joinstyle="round"/>
                      <v:imagedata o:title=""/>
                      <o:lock v:ext="edit" aspectratio="f"/>
                    </v:lin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4547870</wp:posOffset>
                      </wp:positionH>
                      <wp:positionV relativeFrom="paragraph">
                        <wp:posOffset>3512820</wp:posOffset>
                      </wp:positionV>
                      <wp:extent cx="147320" cy="77470"/>
                      <wp:effectExtent l="12700" t="12700" r="30480" b="24130"/>
                      <wp:wrapNone/>
                      <wp:docPr id="10" name="矩形 10"/>
                      <wp:cNvGraphicFramePr/>
                      <a:graphic xmlns:a="http://schemas.openxmlformats.org/drawingml/2006/main">
                        <a:graphicData uri="http://schemas.microsoft.com/office/word/2010/wordprocessingShape">
                          <wps:wsp>
                            <wps:cNvSpPr/>
                            <wps:spPr>
                              <a:xfrm>
                                <a:off x="5801995" y="4616450"/>
                                <a:ext cx="147320" cy="77470"/>
                              </a:xfrm>
                              <a:prstGeom prst="rect">
                                <a:avLst/>
                              </a:prstGeom>
                              <a:noFill/>
                              <a:ln>
                                <a:solidFill>
                                  <a:srgbClr val="FF33CC"/>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1pt;margin-top:276.6pt;height:6.1pt;width:11.6pt;z-index:251675648;v-text-anchor:middle;mso-width-relative:page;mso-height-relative:page;" filled="f" stroked="t" coordsize="21600,21600" o:gfxdata="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rShxj2wAAAAsB&#10;AAAPAAAAAAAAAAEAIAAAACIAAABkcnMvZG93bnJldi54bWxQSwECFAAUAAAACACHTuJA09YdUlEC&#10;AAByBAAADgAAAAAAAAABACAAAAAqAQAAZHJzL2Uyb0RvYy54bWxQSwUGAAAAAAYABgBZAQAA7QUA&#10;AAAA&#10;">
                      <v:fill on="f" focussize="0,0"/>
                      <v:stroke weight="2pt" color="#FF33CC [2404]" joinstyle="round"/>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4721225</wp:posOffset>
                      </wp:positionH>
                      <wp:positionV relativeFrom="paragraph">
                        <wp:posOffset>3783330</wp:posOffset>
                      </wp:positionV>
                      <wp:extent cx="764540" cy="224155"/>
                      <wp:effectExtent l="0" t="0" r="16510" b="4445"/>
                      <wp:wrapNone/>
                      <wp:docPr id="21" name="文本框 21"/>
                      <wp:cNvGraphicFramePr/>
                      <a:graphic xmlns:a="http://schemas.openxmlformats.org/drawingml/2006/main">
                        <a:graphicData uri="http://schemas.microsoft.com/office/word/2010/wordprocessingShape">
                          <wps:wsp>
                            <wps:cNvSpPr txBox="1"/>
                            <wps:spPr>
                              <a:xfrm>
                                <a:off x="0" y="0"/>
                                <a:ext cx="764540" cy="224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21"/>
                                    </w:rPr>
                                  </w:pPr>
                                  <w:r>
                                    <w:rPr>
                                      <w:rFonts w:hint="eastAsia"/>
                                      <w:sz w:val="18"/>
                                      <w:szCs w:val="21"/>
                                    </w:rPr>
                                    <w:t>敏感目标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75pt;margin-top:297.9pt;height:17.65pt;width:60.2pt;z-index:251674624;mso-width-relative:page;mso-height-relative:page;" fillcolor="#FFFFFF [3201]" filled="t" stroked="f" coordsize="21600,21600" o:gfxdata="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zxivNcAAAALAQAADwAAAAAAAAABACAAAAAiAAAAZHJzL2Rvd25yZXYueG1s&#10;UEsBAhQAFAAAAAgAh07iQNbXnKMyAgAAQgQAAA4AAAAAAAAAAQAgAAAAJgEAAGRycy9lMm9Eb2Mu&#10;eG1sUEsFBgAAAAAGAAYAWQEAAMoFAAAAAA==&#10;">
                      <v:fill on="t" focussize="0,0"/>
                      <v:stroke on="f" weight="0.5pt"/>
                      <v:imagedata o:title=""/>
                      <o:lock v:ext="edit" aspectratio="f"/>
                      <v:textbox>
                        <w:txbxContent>
                          <w:p>
                            <w:pPr>
                              <w:rPr>
                                <w:sz w:val="18"/>
                                <w:szCs w:val="21"/>
                              </w:rPr>
                            </w:pPr>
                            <w:r>
                              <w:rPr>
                                <w:rFonts w:hint="eastAsia"/>
                                <w:sz w:val="18"/>
                                <w:szCs w:val="21"/>
                              </w:rPr>
                              <w:t>敏感目标</w:t>
                            </w:r>
                          </w:p>
                        </w:txbxContent>
                      </v:textbox>
                    </v:shape>
                  </w:pict>
                </mc:Fallback>
              </mc:AlternateContent>
            </w: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4496435</wp:posOffset>
                  </wp:positionH>
                  <wp:positionV relativeFrom="paragraph">
                    <wp:posOffset>3190875</wp:posOffset>
                  </wp:positionV>
                  <wp:extent cx="1114425" cy="1076325"/>
                  <wp:effectExtent l="0" t="0" r="9525"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114425" cy="1076325"/>
                          </a:xfrm>
                          <a:prstGeom prst="rect">
                            <a:avLst/>
                          </a:prstGeom>
                          <a:noFill/>
                          <a:ln>
                            <a:noFill/>
                          </a:ln>
                        </pic:spPr>
                      </pic:pic>
                    </a:graphicData>
                  </a:graphic>
                </wp:anchor>
              </w:drawing>
            </w:r>
            <w:r>
              <w:drawing>
                <wp:inline distT="0" distB="0" distL="114300" distR="114300">
                  <wp:extent cx="5273675" cy="4283710"/>
                  <wp:effectExtent l="0" t="0" r="317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5273675" cy="4283710"/>
                          </a:xfrm>
                          <a:prstGeom prst="rect">
                            <a:avLst/>
                          </a:prstGeom>
                          <a:noFill/>
                          <a:ln>
                            <a:noFill/>
                          </a:ln>
                        </pic:spPr>
                      </pic:pic>
                    </a:graphicData>
                  </a:graphic>
                </wp:inline>
              </w:drawing>
            </w:r>
            <w:r>
              <w:rPr>
                <w:rFonts w:hint="eastAsia"/>
                <w:b/>
                <w:color w:val="000000" w:themeColor="text1"/>
                <w:kern w:val="0"/>
                <w:sz w:val="21"/>
                <w:szCs w:val="21"/>
                <w:highlight w:val="none"/>
                <w14:textFill>
                  <w14:solidFill>
                    <w14:schemeClr w14:val="tx1"/>
                  </w14:solidFill>
                </w14:textFill>
              </w:rPr>
              <w:t>图3-2  环境保护目标分布图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2" w:type="dxa"/>
            <w:tcMar>
              <w:left w:w="28" w:type="dxa"/>
              <w:right w:w="28"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准</w:t>
            </w:r>
          </w:p>
        </w:tc>
        <w:tc>
          <w:tcPr>
            <w:tcW w:w="8946" w:type="dxa"/>
            <w:vAlign w:val="center"/>
          </w:tcPr>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1、大气污染物排放标准</w:t>
            </w:r>
          </w:p>
          <w:p>
            <w:pPr>
              <w:spacing w:line="360" w:lineRule="auto"/>
              <w:ind w:firstLine="480" w:firstLineChars="200"/>
              <w:contextualSpacing/>
              <w:jc w:val="left"/>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施工期扬尘</w:t>
            </w:r>
            <w:r>
              <w:rPr>
                <w:rFonts w:hint="eastAsia"/>
                <w:bCs/>
                <w:color w:val="000000" w:themeColor="text1"/>
                <w:kern w:val="0"/>
                <w:sz w:val="24"/>
                <w14:textFill>
                  <w14:solidFill>
                    <w14:schemeClr w14:val="tx1"/>
                  </w14:solidFill>
                </w14:textFill>
              </w:rPr>
              <w:t>及运营期厂界颗粒物</w:t>
            </w:r>
            <w:r>
              <w:rPr>
                <w:bCs/>
                <w:color w:val="000000" w:themeColor="text1"/>
                <w:kern w:val="0"/>
                <w:sz w:val="24"/>
                <w14:textFill>
                  <w14:solidFill>
                    <w14:schemeClr w14:val="tx1"/>
                  </w14:solidFill>
                </w14:textFill>
              </w:rPr>
              <w:t>执行《大气污染物综合排放标准》（GB16297-1996）中无组织排放限值要求</w:t>
            </w:r>
            <w:r>
              <w:rPr>
                <w:rFonts w:hint="eastAsia"/>
                <w:bCs/>
                <w:color w:val="000000" w:themeColor="text1"/>
                <w:kern w:val="0"/>
                <w:sz w:val="24"/>
                <w14:textFill>
                  <w14:solidFill>
                    <w14:schemeClr w14:val="tx1"/>
                  </w14:solidFill>
                </w14:textFill>
              </w:rPr>
              <w:t>。</w:t>
            </w:r>
          </w:p>
          <w:p>
            <w:pPr>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表3-</w:t>
            </w:r>
            <w:r>
              <w:rPr>
                <w:rFonts w:hint="eastAsia"/>
                <w:b/>
                <w:color w:val="000000" w:themeColor="text1"/>
                <w:sz w:val="21"/>
                <w:szCs w:val="21"/>
                <w:lang w:val="en-US" w:eastAsia="zh-CN"/>
                <w14:textFill>
                  <w14:solidFill>
                    <w14:schemeClr w14:val="tx1"/>
                  </w14:solidFill>
                </w14:textFill>
              </w:rPr>
              <w:t>7</w:t>
            </w:r>
            <w:r>
              <w:rPr>
                <w:b/>
                <w:color w:val="000000" w:themeColor="text1"/>
                <w:sz w:val="21"/>
                <w:szCs w:val="21"/>
                <w14:textFill>
                  <w14:solidFill>
                    <w14:schemeClr w14:val="tx1"/>
                  </w14:solidFill>
                </w14:textFill>
              </w:rPr>
              <w:t xml:space="preserve">  大气污染物综合排放标准  单位：mg/m</w:t>
            </w:r>
            <w:r>
              <w:rPr>
                <w:b/>
                <w:color w:val="000000" w:themeColor="text1"/>
                <w:sz w:val="21"/>
                <w:szCs w:val="21"/>
                <w:vertAlign w:val="superscript"/>
                <w14:textFill>
                  <w14:solidFill>
                    <w14:schemeClr w14:val="tx1"/>
                  </w14:solidFill>
                </w14:textFill>
              </w:rPr>
              <w:t>3</w:t>
            </w:r>
          </w:p>
          <w:tbl>
            <w:tblPr>
              <w:tblStyle w:val="36"/>
              <w:tblW w:w="873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8"/>
              <w:gridCol w:w="991"/>
              <w:gridCol w:w="2515"/>
              <w:gridCol w:w="3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58" w:type="dxa"/>
                  <w:tcBorders>
                    <w:top w:val="single" w:color="auto" w:sz="12" w:space="0"/>
                    <w:left w:val="nil"/>
                    <w:bottom w:val="single" w:color="auto" w:sz="4" w:space="0"/>
                    <w:right w:val="single" w:color="auto" w:sz="4" w:space="0"/>
                  </w:tcBorders>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污染物</w:t>
                  </w:r>
                </w:p>
              </w:tc>
              <w:tc>
                <w:tcPr>
                  <w:tcW w:w="991" w:type="dxa"/>
                  <w:tcBorders>
                    <w:top w:val="single" w:color="auto" w:sz="12" w:space="0"/>
                    <w:left w:val="single" w:color="auto" w:sz="4" w:space="0"/>
                    <w:bottom w:val="single" w:color="auto" w:sz="4" w:space="0"/>
                    <w:right w:val="single" w:color="auto" w:sz="4" w:space="0"/>
                  </w:tcBorders>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限值</w:t>
                  </w:r>
                </w:p>
              </w:tc>
              <w:tc>
                <w:tcPr>
                  <w:tcW w:w="2515" w:type="dxa"/>
                  <w:tcBorders>
                    <w:top w:val="single" w:color="auto" w:sz="12" w:space="0"/>
                    <w:left w:val="single" w:color="auto" w:sz="4" w:space="0"/>
                    <w:bottom w:val="single" w:color="auto" w:sz="4" w:space="0"/>
                    <w:right w:val="single" w:color="auto" w:sz="4" w:space="0"/>
                  </w:tcBorders>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限制含义</w:t>
                  </w:r>
                </w:p>
              </w:tc>
              <w:tc>
                <w:tcPr>
                  <w:tcW w:w="3666" w:type="dxa"/>
                  <w:tcBorders>
                    <w:top w:val="single" w:color="auto" w:sz="12" w:space="0"/>
                    <w:left w:val="single" w:color="auto" w:sz="4" w:space="0"/>
                    <w:bottom w:val="single" w:color="auto" w:sz="4" w:space="0"/>
                    <w:right w:val="nil"/>
                  </w:tcBorders>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58" w:type="dxa"/>
                  <w:tcBorders>
                    <w:top w:val="single" w:color="auto" w:sz="4" w:space="0"/>
                    <w:left w:val="nil"/>
                    <w:bottom w:val="single" w:color="auto" w:sz="12" w:space="0"/>
                    <w:right w:val="single" w:color="auto" w:sz="4" w:space="0"/>
                  </w:tcBorders>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颗粒物</w:t>
                  </w:r>
                </w:p>
              </w:tc>
              <w:tc>
                <w:tcPr>
                  <w:tcW w:w="991" w:type="dxa"/>
                  <w:tcBorders>
                    <w:top w:val="single" w:color="auto" w:sz="4" w:space="0"/>
                    <w:left w:val="single" w:color="auto" w:sz="4" w:space="0"/>
                    <w:bottom w:val="single" w:color="auto" w:sz="12" w:space="0"/>
                    <w:right w:val="single" w:color="auto" w:sz="4" w:space="0"/>
                  </w:tcBorders>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1.0</w:t>
                  </w:r>
                </w:p>
              </w:tc>
              <w:tc>
                <w:tcPr>
                  <w:tcW w:w="2515" w:type="dxa"/>
                  <w:tcBorders>
                    <w:top w:val="single" w:color="auto" w:sz="4" w:space="0"/>
                    <w:left w:val="single" w:color="auto" w:sz="4" w:space="0"/>
                    <w:bottom w:val="single" w:color="auto" w:sz="12" w:space="0"/>
                    <w:right w:val="single" w:color="auto" w:sz="4" w:space="0"/>
                  </w:tcBorders>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无组织排放浓度</w:t>
                  </w:r>
                </w:p>
              </w:tc>
              <w:tc>
                <w:tcPr>
                  <w:tcW w:w="3666" w:type="dxa"/>
                  <w:tcBorders>
                    <w:top w:val="single" w:color="auto" w:sz="4" w:space="0"/>
                    <w:left w:val="single" w:color="auto" w:sz="4" w:space="0"/>
                    <w:bottom w:val="single" w:color="auto" w:sz="12" w:space="0"/>
                    <w:right w:val="nil"/>
                  </w:tcBorders>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周界外浓度最高点</w:t>
                  </w:r>
                </w:p>
              </w:tc>
            </w:tr>
          </w:tbl>
          <w:p>
            <w:pPr>
              <w:spacing w:line="360" w:lineRule="auto"/>
              <w:ind w:firstLine="480" w:firstLineChars="200"/>
              <w:contextualSpacing/>
              <w:jc w:val="left"/>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本项目锅炉烟气</w:t>
            </w:r>
            <w:r>
              <w:rPr>
                <w:color w:val="000000" w:themeColor="text1"/>
                <w:kern w:val="0"/>
                <w:sz w:val="24"/>
                <w14:textFill>
                  <w14:solidFill>
                    <w14:schemeClr w14:val="tx1"/>
                  </w14:solidFill>
                </w14:textFill>
              </w:rPr>
              <w:t>执行《锅炉大气污染物排放标准》（GB13271-2014）表2</w:t>
            </w:r>
            <w:r>
              <w:rPr>
                <w:rFonts w:hint="eastAsia"/>
                <w:color w:val="000000" w:themeColor="text1"/>
                <w:kern w:val="0"/>
                <w:sz w:val="24"/>
                <w14:textFill>
                  <w14:solidFill>
                    <w14:schemeClr w14:val="tx1"/>
                  </w14:solidFill>
                </w14:textFill>
              </w:rPr>
              <w:t>新建燃煤锅炉</w:t>
            </w:r>
            <w:r>
              <w:rPr>
                <w:color w:val="000000" w:themeColor="text1"/>
                <w:kern w:val="0"/>
                <w:sz w:val="24"/>
                <w14:textFill>
                  <w14:solidFill>
                    <w14:schemeClr w14:val="tx1"/>
                  </w14:solidFill>
                </w14:textFill>
              </w:rPr>
              <w:t>大气污染物排放限值要求</w:t>
            </w:r>
            <w:r>
              <w:rPr>
                <w:rFonts w:hint="eastAsia"/>
                <w:bCs/>
                <w:color w:val="000000" w:themeColor="text1"/>
                <w:kern w:val="0"/>
                <w:sz w:val="24"/>
                <w14:textFill>
                  <w14:solidFill>
                    <w14:schemeClr w14:val="tx1"/>
                  </w14:solidFill>
                </w14:textFill>
              </w:rPr>
              <w:t>。</w:t>
            </w:r>
          </w:p>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3-</w:t>
            </w:r>
            <w:r>
              <w:rPr>
                <w:rFonts w:hint="eastAsia"/>
                <w:b/>
                <w:bCs/>
                <w:color w:val="000000" w:themeColor="text1"/>
                <w:sz w:val="21"/>
                <w:szCs w:val="21"/>
                <w:lang w:val="en-US" w:eastAsia="zh-CN"/>
                <w14:textFill>
                  <w14:solidFill>
                    <w14:schemeClr w14:val="tx1"/>
                  </w14:solidFill>
                </w14:textFill>
              </w:rPr>
              <w:t>8</w:t>
            </w:r>
            <w:r>
              <w:rPr>
                <w:b/>
                <w:bCs/>
                <w:color w:val="000000" w:themeColor="text1"/>
                <w:sz w:val="21"/>
                <w:szCs w:val="21"/>
                <w14:textFill>
                  <w14:solidFill>
                    <w14:schemeClr w14:val="tx1"/>
                  </w14:solidFill>
                </w14:textFill>
              </w:rPr>
              <w:t xml:space="preserve"> </w:t>
            </w:r>
            <w:r>
              <w:rPr>
                <w:rFonts w:hint="eastAsia"/>
                <w:b/>
                <w:bCs/>
                <w:color w:val="000000" w:themeColor="text1"/>
                <w:sz w:val="21"/>
                <w:szCs w:val="21"/>
                <w14:textFill>
                  <w14:solidFill>
                    <w14:schemeClr w14:val="tx1"/>
                  </w14:solidFill>
                </w14:textFill>
              </w:rPr>
              <w:t xml:space="preserve"> </w:t>
            </w:r>
            <w:r>
              <w:rPr>
                <w:b/>
                <w:bCs/>
                <w:color w:val="000000" w:themeColor="text1"/>
                <w:sz w:val="21"/>
                <w:szCs w:val="21"/>
                <w14:textFill>
                  <w14:solidFill>
                    <w14:schemeClr w14:val="tx1"/>
                  </w14:solidFill>
                </w14:textFill>
              </w:rPr>
              <w:t>锅炉大气污染物排放标准</w:t>
            </w:r>
            <w:r>
              <w:rPr>
                <w:rFonts w:hint="eastAsia"/>
                <w:b/>
                <w:bCs/>
                <w:color w:val="000000" w:themeColor="text1"/>
                <w:sz w:val="21"/>
                <w:szCs w:val="21"/>
                <w14:textFill>
                  <w14:solidFill>
                    <w14:schemeClr w14:val="tx1"/>
                  </w14:solidFill>
                </w14:textFill>
              </w:rPr>
              <w:t xml:space="preserve">   单位：mg/m</w:t>
            </w:r>
            <w:r>
              <w:rPr>
                <w:rFonts w:hint="eastAsia"/>
                <w:b/>
                <w:bCs/>
                <w:color w:val="000000" w:themeColor="text1"/>
                <w:sz w:val="21"/>
                <w:szCs w:val="21"/>
                <w:vertAlign w:val="superscript"/>
                <w14:textFill>
                  <w14:solidFill>
                    <w14:schemeClr w14:val="tx1"/>
                  </w14:solidFill>
                </w14:textFill>
              </w:rPr>
              <w:t>3</w:t>
            </w:r>
          </w:p>
          <w:tbl>
            <w:tblPr>
              <w:tblStyle w:val="36"/>
              <w:tblW w:w="873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2"/>
              <w:gridCol w:w="4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4442" w:type="dxa"/>
                  <w:vMerge w:val="restart"/>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污染物项目</w:t>
                  </w:r>
                </w:p>
              </w:tc>
              <w:tc>
                <w:tcPr>
                  <w:tcW w:w="4288"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排放</w:t>
                  </w:r>
                  <w:r>
                    <w:rPr>
                      <w:rFonts w:ascii="Times New Roman" w:hAnsi="Times New Roman"/>
                      <w:color w:val="000000" w:themeColor="text1"/>
                      <w:sz w:val="21"/>
                      <w:szCs w:val="21"/>
                      <w14:textFill>
                        <w14:solidFill>
                          <w14:schemeClr w14:val="tx1"/>
                        </w14:solidFill>
                      </w14:textFill>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4442" w:type="dxa"/>
                  <w:vMerge w:val="continue"/>
                  <w:vAlign w:val="center"/>
                </w:tcPr>
                <w:p>
                  <w:pPr>
                    <w:spacing w:line="0" w:lineRule="atLeast"/>
                    <w:contextualSpacing/>
                    <w:jc w:val="center"/>
                    <w:rPr>
                      <w:color w:val="000000" w:themeColor="text1"/>
                      <w:szCs w:val="21"/>
                      <w14:textFill>
                        <w14:solidFill>
                          <w14:schemeClr w14:val="tx1"/>
                        </w14:solidFill>
                      </w14:textFill>
                    </w:rPr>
                  </w:pPr>
                </w:p>
              </w:tc>
              <w:tc>
                <w:tcPr>
                  <w:tcW w:w="4288"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燃煤锅炉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4442"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颗粒物</w:t>
                  </w:r>
                </w:p>
              </w:tc>
              <w:tc>
                <w:tcPr>
                  <w:tcW w:w="4288"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r>
                    <w:rPr>
                      <w:rFonts w:hint="eastAsia" w:ascii="Times New Roman" w:hAnsi="Times New Roman"/>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442"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二氧化硫</w:t>
                  </w:r>
                </w:p>
              </w:tc>
              <w:tc>
                <w:tcPr>
                  <w:tcW w:w="4288"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442"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氮氧化物</w:t>
                  </w:r>
                </w:p>
              </w:tc>
              <w:tc>
                <w:tcPr>
                  <w:tcW w:w="4288"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442"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林格曼黑度</w:t>
                  </w:r>
                </w:p>
              </w:tc>
              <w:tc>
                <w:tcPr>
                  <w:tcW w:w="4288" w:type="dxa"/>
                  <w:vAlign w:val="center"/>
                </w:tcPr>
                <w:p>
                  <w:pPr>
                    <w:pStyle w:val="31"/>
                    <w:widowControl w:val="0"/>
                    <w:spacing w:before="0" w:beforeAutospacing="0" w:after="0" w:afterAutospacing="0" w:line="0" w:lineRule="atLeast"/>
                    <w:contextualSpacing/>
                    <w:jc w:val="center"/>
                    <w:rPr>
                      <w:rFonts w:ascii="Times New Roman" w:hAnsi="Times New Roman"/>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1</w:t>
                  </w:r>
                </w:p>
              </w:tc>
            </w:tr>
          </w:tbl>
          <w:p>
            <w:pPr>
              <w:adjustRightInd w:val="0"/>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2、噪声排放标准</w:t>
            </w:r>
          </w:p>
          <w:p>
            <w:pPr>
              <w:adjustRightInd w:val="0"/>
              <w:spacing w:line="360" w:lineRule="auto"/>
              <w:ind w:firstLine="480" w:firstLineChars="200"/>
              <w:textAlignment w:val="baseline"/>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施工期厂界噪声执行</w:t>
            </w:r>
            <w:r>
              <w:rPr>
                <w:rFonts w:hint="eastAsia"/>
                <w:bCs/>
                <w:color w:val="000000" w:themeColor="text1"/>
                <w:sz w:val="24"/>
                <w14:textFill>
                  <w14:solidFill>
                    <w14:schemeClr w14:val="tx1"/>
                  </w14:solidFill>
                </w14:textFill>
              </w:rPr>
              <w:t>《建筑施工噪声排放标准》（GB12523-2025）</w:t>
            </w:r>
            <w:r>
              <w:rPr>
                <w:color w:val="000000" w:themeColor="text1"/>
                <w:kern w:val="0"/>
                <w:sz w:val="24"/>
                <w14:textFill>
                  <w14:solidFill>
                    <w14:schemeClr w14:val="tx1"/>
                  </w14:solidFill>
                </w14:textFill>
              </w:rPr>
              <w:t>，见表3</w:t>
            </w:r>
            <w:r>
              <w:rPr>
                <w:rFonts w:hint="eastAsia"/>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9</w:t>
            </w:r>
            <w:r>
              <w:rPr>
                <w:color w:val="000000" w:themeColor="text1"/>
                <w:kern w:val="0"/>
                <w:sz w:val="24"/>
                <w14:textFill>
                  <w14:solidFill>
                    <w14:schemeClr w14:val="tx1"/>
                  </w14:solidFill>
                </w14:textFill>
              </w:rPr>
              <w:t>。</w:t>
            </w:r>
          </w:p>
          <w:p>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表3</w:t>
            </w:r>
            <w:r>
              <w:rPr>
                <w:rFonts w:hint="eastAsia"/>
                <w:b/>
                <w:bCs/>
                <w:color w:val="000000" w:themeColor="text1"/>
                <w:sz w:val="21"/>
                <w:szCs w:val="21"/>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9</w:t>
            </w:r>
            <w:r>
              <w:rPr>
                <w:b/>
                <w:bCs/>
                <w:color w:val="000000" w:themeColor="text1"/>
                <w:sz w:val="21"/>
                <w:szCs w:val="21"/>
                <w14:textFill>
                  <w14:solidFill>
                    <w14:schemeClr w14:val="tx1"/>
                  </w14:solidFill>
                </w14:textFill>
              </w:rPr>
              <w:t xml:space="preserve"> 建筑施工场界环境噪声排放标准  单位：dB(A)</w:t>
            </w:r>
          </w:p>
          <w:tbl>
            <w:tblPr>
              <w:tblStyle w:val="36"/>
              <w:tblW w:w="8504"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357"/>
              <w:gridCol w:w="4147"/>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357" w:type="dxa"/>
                  <w:tcMar>
                    <w:top w:w="17" w:type="dxa"/>
                    <w:left w:w="17" w:type="dxa"/>
                    <w:bottom w:w="0" w:type="dxa"/>
                    <w:right w:w="17"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147" w:type="dxa"/>
                  <w:tcMar>
                    <w:top w:w="17" w:type="dxa"/>
                    <w:left w:w="17" w:type="dxa"/>
                    <w:bottom w:w="0" w:type="dxa"/>
                    <w:right w:w="17"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357" w:type="dxa"/>
                  <w:tcMar>
                    <w:top w:w="17" w:type="dxa"/>
                    <w:left w:w="17" w:type="dxa"/>
                    <w:bottom w:w="0" w:type="dxa"/>
                    <w:right w:w="17"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4147" w:type="dxa"/>
                  <w:tcMar>
                    <w:top w:w="17" w:type="dxa"/>
                    <w:left w:w="17" w:type="dxa"/>
                    <w:bottom w:w="0" w:type="dxa"/>
                    <w:right w:w="17"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55</w:t>
                  </w:r>
                </w:p>
              </w:tc>
            </w:tr>
          </w:tbl>
          <w:p>
            <w:pPr>
              <w:adjustRightInd w:val="0"/>
              <w:snapToGrid w:val="0"/>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本项目运营期</w:t>
            </w:r>
            <w:r>
              <w:rPr>
                <w:rFonts w:hint="eastAsia"/>
                <w:color w:val="000000" w:themeColor="text1"/>
                <w:sz w:val="24"/>
                <w:highlight w:val="none"/>
                <w14:textFill>
                  <w14:solidFill>
                    <w14:schemeClr w14:val="tx1"/>
                  </w14:solidFill>
                </w14:textFill>
              </w:rPr>
              <w:t>厂界</w:t>
            </w:r>
            <w:r>
              <w:rPr>
                <w:color w:val="000000" w:themeColor="text1"/>
                <w:sz w:val="24"/>
                <w:highlight w:val="none"/>
                <w14:textFill>
                  <w14:solidFill>
                    <w14:schemeClr w14:val="tx1"/>
                  </w14:solidFill>
                </w14:textFill>
              </w:rPr>
              <w:t>噪声执行《工业企业厂界环境噪声排放标准》</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GB12348-2008</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表1中2类标准。</w:t>
            </w:r>
          </w:p>
          <w:p>
            <w:pPr>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rFonts w:hint="eastAsia"/>
                <w:b/>
                <w:bCs/>
                <w:color w:val="000000" w:themeColor="text1"/>
                <w:sz w:val="21"/>
                <w:szCs w:val="21"/>
                <w:highlight w:val="none"/>
                <w:lang w:val="en-US" w:eastAsia="zh-CN"/>
                <w14:textFill>
                  <w14:solidFill>
                    <w14:schemeClr w14:val="tx1"/>
                  </w14:solidFill>
                </w14:textFill>
              </w:rPr>
              <w:t>10</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噪声排放标准</w:t>
            </w:r>
          </w:p>
          <w:tbl>
            <w:tblPr>
              <w:tblStyle w:val="36"/>
              <w:tblW w:w="872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3"/>
              <w:gridCol w:w="1182"/>
              <w:gridCol w:w="10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6543" w:type="dxa"/>
                  <w:vAlign w:val="center"/>
                </w:tcPr>
                <w:p>
                  <w:pPr>
                    <w:spacing w:line="320" w:lineRule="exact"/>
                    <w:jc w:val="center"/>
                    <w:rPr>
                      <w:color w:val="000000" w:themeColor="text1"/>
                      <w:spacing w:val="5"/>
                      <w:szCs w:val="21"/>
                      <w:highlight w:val="none"/>
                      <w14:textFill>
                        <w14:solidFill>
                          <w14:schemeClr w14:val="tx1"/>
                        </w14:solidFill>
                      </w14:textFill>
                    </w:rPr>
                  </w:pPr>
                  <w:r>
                    <w:rPr>
                      <w:color w:val="000000" w:themeColor="text1"/>
                      <w:spacing w:val="5"/>
                      <w:szCs w:val="21"/>
                      <w:highlight w:val="none"/>
                      <w14:textFill>
                        <w14:solidFill>
                          <w14:schemeClr w14:val="tx1"/>
                        </w14:solidFill>
                      </w14:textFill>
                    </w:rPr>
                    <w:t>项目</w:t>
                  </w:r>
                </w:p>
              </w:tc>
              <w:tc>
                <w:tcPr>
                  <w:tcW w:w="1182" w:type="dxa"/>
                  <w:vAlign w:val="center"/>
                </w:tcPr>
                <w:p>
                  <w:pPr>
                    <w:spacing w:line="320" w:lineRule="exact"/>
                    <w:jc w:val="center"/>
                    <w:rPr>
                      <w:color w:val="000000" w:themeColor="text1"/>
                      <w:spacing w:val="5"/>
                      <w:szCs w:val="21"/>
                      <w:highlight w:val="none"/>
                      <w14:textFill>
                        <w14:solidFill>
                          <w14:schemeClr w14:val="tx1"/>
                        </w14:solidFill>
                      </w14:textFill>
                    </w:rPr>
                  </w:pPr>
                  <w:r>
                    <w:rPr>
                      <w:color w:val="000000" w:themeColor="text1"/>
                      <w:spacing w:val="5"/>
                      <w:szCs w:val="21"/>
                      <w:highlight w:val="none"/>
                      <w14:textFill>
                        <w14:solidFill>
                          <w14:schemeClr w14:val="tx1"/>
                        </w14:solidFill>
                      </w14:textFill>
                    </w:rPr>
                    <w:t>昼间</w:t>
                  </w:r>
                </w:p>
              </w:tc>
              <w:tc>
                <w:tcPr>
                  <w:tcW w:w="1002" w:type="dxa"/>
                  <w:vAlign w:val="center"/>
                </w:tcPr>
                <w:p>
                  <w:pPr>
                    <w:spacing w:line="320" w:lineRule="exact"/>
                    <w:jc w:val="center"/>
                    <w:rPr>
                      <w:color w:val="000000" w:themeColor="text1"/>
                      <w:spacing w:val="5"/>
                      <w:szCs w:val="21"/>
                      <w:highlight w:val="none"/>
                      <w14:textFill>
                        <w14:solidFill>
                          <w14:schemeClr w14:val="tx1"/>
                        </w14:solidFill>
                      </w14:textFill>
                    </w:rPr>
                  </w:pPr>
                  <w:r>
                    <w:rPr>
                      <w:color w:val="000000" w:themeColor="text1"/>
                      <w:spacing w:val="5"/>
                      <w:szCs w:val="21"/>
                      <w:highlight w:val="non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6543" w:type="dxa"/>
                  <w:vAlign w:val="center"/>
                </w:tcPr>
                <w:p>
                  <w:pPr>
                    <w:spacing w:line="320" w:lineRule="exact"/>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《工业企业厂界环境噪声排放标准》</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GB12348-2008</w:t>
                  </w:r>
                  <w:r>
                    <w:rPr>
                      <w:rFonts w:hint="eastAsia"/>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2类标准</w:t>
                  </w:r>
                </w:p>
              </w:tc>
              <w:tc>
                <w:tcPr>
                  <w:tcW w:w="1182" w:type="dxa"/>
                  <w:vAlign w:val="center"/>
                </w:tcPr>
                <w:p>
                  <w:pPr>
                    <w:spacing w:line="320" w:lineRule="exact"/>
                    <w:jc w:val="center"/>
                    <w:rPr>
                      <w:color w:val="000000" w:themeColor="text1"/>
                      <w:spacing w:val="5"/>
                      <w:szCs w:val="21"/>
                      <w:highlight w:val="none"/>
                      <w14:textFill>
                        <w14:solidFill>
                          <w14:schemeClr w14:val="tx1"/>
                        </w14:solidFill>
                      </w14:textFill>
                    </w:rPr>
                  </w:pPr>
                  <w:r>
                    <w:rPr>
                      <w:rFonts w:hint="eastAsia"/>
                      <w:color w:val="000000" w:themeColor="text1"/>
                      <w:spacing w:val="5"/>
                      <w:szCs w:val="21"/>
                      <w:highlight w:val="none"/>
                      <w14:textFill>
                        <w14:solidFill>
                          <w14:schemeClr w14:val="tx1"/>
                        </w14:solidFill>
                      </w14:textFill>
                    </w:rPr>
                    <w:t>6</w:t>
                  </w:r>
                  <w:r>
                    <w:rPr>
                      <w:color w:val="000000" w:themeColor="text1"/>
                      <w:spacing w:val="5"/>
                      <w:szCs w:val="21"/>
                      <w:highlight w:val="none"/>
                      <w14:textFill>
                        <w14:solidFill>
                          <w14:schemeClr w14:val="tx1"/>
                        </w14:solidFill>
                      </w14:textFill>
                    </w:rPr>
                    <w:t>0dB</w:t>
                  </w:r>
                  <w:r>
                    <w:rPr>
                      <w:rFonts w:hint="eastAsia"/>
                      <w:color w:val="000000" w:themeColor="text1"/>
                      <w:spacing w:val="5"/>
                      <w:szCs w:val="21"/>
                      <w:highlight w:val="none"/>
                      <w14:textFill>
                        <w14:solidFill>
                          <w14:schemeClr w14:val="tx1"/>
                        </w14:solidFill>
                      </w14:textFill>
                    </w:rPr>
                    <w:t>(</w:t>
                  </w:r>
                  <w:r>
                    <w:rPr>
                      <w:color w:val="000000" w:themeColor="text1"/>
                      <w:spacing w:val="5"/>
                      <w:szCs w:val="21"/>
                      <w:highlight w:val="none"/>
                      <w14:textFill>
                        <w14:solidFill>
                          <w14:schemeClr w14:val="tx1"/>
                        </w14:solidFill>
                      </w14:textFill>
                    </w:rPr>
                    <w:t>A</w:t>
                  </w:r>
                  <w:r>
                    <w:rPr>
                      <w:rFonts w:hint="eastAsia"/>
                      <w:color w:val="000000" w:themeColor="text1"/>
                      <w:spacing w:val="5"/>
                      <w:szCs w:val="21"/>
                      <w:highlight w:val="none"/>
                      <w14:textFill>
                        <w14:solidFill>
                          <w14:schemeClr w14:val="tx1"/>
                        </w14:solidFill>
                      </w14:textFill>
                    </w:rPr>
                    <w:t>)</w:t>
                  </w:r>
                </w:p>
              </w:tc>
              <w:tc>
                <w:tcPr>
                  <w:tcW w:w="1002" w:type="dxa"/>
                  <w:vAlign w:val="center"/>
                </w:tcPr>
                <w:p>
                  <w:pPr>
                    <w:spacing w:line="320" w:lineRule="exact"/>
                    <w:jc w:val="center"/>
                    <w:rPr>
                      <w:color w:val="000000" w:themeColor="text1"/>
                      <w:spacing w:val="5"/>
                      <w:szCs w:val="21"/>
                      <w:highlight w:val="none"/>
                      <w14:textFill>
                        <w14:solidFill>
                          <w14:schemeClr w14:val="tx1"/>
                        </w14:solidFill>
                      </w14:textFill>
                    </w:rPr>
                  </w:pPr>
                  <w:r>
                    <w:rPr>
                      <w:rFonts w:hint="eastAsia"/>
                      <w:color w:val="000000" w:themeColor="text1"/>
                      <w:spacing w:val="5"/>
                      <w:szCs w:val="21"/>
                      <w:highlight w:val="none"/>
                      <w14:textFill>
                        <w14:solidFill>
                          <w14:schemeClr w14:val="tx1"/>
                        </w14:solidFill>
                      </w14:textFill>
                    </w:rPr>
                    <w:t>5</w:t>
                  </w:r>
                  <w:r>
                    <w:rPr>
                      <w:color w:val="000000" w:themeColor="text1"/>
                      <w:spacing w:val="5"/>
                      <w:szCs w:val="21"/>
                      <w:highlight w:val="none"/>
                      <w14:textFill>
                        <w14:solidFill>
                          <w14:schemeClr w14:val="tx1"/>
                        </w14:solidFill>
                      </w14:textFill>
                    </w:rPr>
                    <w:t>0dB</w:t>
                  </w:r>
                  <w:r>
                    <w:rPr>
                      <w:rFonts w:hint="eastAsia"/>
                      <w:color w:val="000000" w:themeColor="text1"/>
                      <w:spacing w:val="5"/>
                      <w:szCs w:val="21"/>
                      <w:highlight w:val="none"/>
                      <w14:textFill>
                        <w14:solidFill>
                          <w14:schemeClr w14:val="tx1"/>
                        </w14:solidFill>
                      </w14:textFill>
                    </w:rPr>
                    <w:t>(</w:t>
                  </w:r>
                  <w:r>
                    <w:rPr>
                      <w:color w:val="000000" w:themeColor="text1"/>
                      <w:spacing w:val="5"/>
                      <w:szCs w:val="21"/>
                      <w:highlight w:val="none"/>
                      <w14:textFill>
                        <w14:solidFill>
                          <w14:schemeClr w14:val="tx1"/>
                        </w14:solidFill>
                      </w14:textFill>
                    </w:rPr>
                    <w:t>A</w:t>
                  </w:r>
                  <w:r>
                    <w:rPr>
                      <w:rFonts w:hint="eastAsia"/>
                      <w:color w:val="000000" w:themeColor="text1"/>
                      <w:spacing w:val="5"/>
                      <w:szCs w:val="21"/>
                      <w:highlight w:val="none"/>
                      <w14:textFill>
                        <w14:solidFill>
                          <w14:schemeClr w14:val="tx1"/>
                        </w14:solidFill>
                      </w14:textFill>
                    </w:rPr>
                    <w:t>)</w:t>
                  </w:r>
                </w:p>
              </w:tc>
            </w:tr>
          </w:tbl>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w:t>
            </w:r>
            <w:r>
              <w:rPr>
                <w:b/>
                <w:bCs/>
                <w:color w:val="000000" w:themeColor="text1"/>
                <w:sz w:val="24"/>
                <w14:textFill>
                  <w14:solidFill>
                    <w14:schemeClr w14:val="tx1"/>
                  </w14:solidFill>
                </w14:textFill>
              </w:rPr>
              <w:t>、固体废物排放标准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本项目运营期一般固体废物</w:t>
            </w:r>
            <w:r>
              <w:rPr>
                <w:rFonts w:hint="eastAsia"/>
                <w:color w:val="000000" w:themeColor="text1"/>
                <w:sz w:val="24"/>
                <w14:textFill>
                  <w14:solidFill>
                    <w14:schemeClr w14:val="tx1"/>
                  </w14:solidFill>
                </w14:textFill>
              </w:rPr>
              <w:t>处理、处置</w:t>
            </w:r>
            <w:r>
              <w:rPr>
                <w:rFonts w:hint="eastAsia"/>
                <w:color w:val="000000" w:themeColor="text1"/>
                <w:sz w:val="24"/>
                <w:lang w:val="en-US" w:eastAsia="zh-CN"/>
                <w14:textFill>
                  <w14:solidFill>
                    <w14:schemeClr w14:val="tx1"/>
                  </w14:solidFill>
                </w14:textFill>
              </w:rPr>
              <w:t>应满足</w:t>
            </w:r>
            <w:r>
              <w:rPr>
                <w:rFonts w:hint="eastAsia"/>
                <w:color w:val="000000" w:themeColor="text1"/>
                <w:sz w:val="24"/>
                <w14:textFill>
                  <w14:solidFill>
                    <w14:schemeClr w14:val="tx1"/>
                  </w14:solidFill>
                </w14:textFill>
              </w:rPr>
              <w:t>《中华人民共和国固体废物污染环境防治法》</w:t>
            </w:r>
            <w:r>
              <w:rPr>
                <w:rFonts w:hint="eastAsia"/>
                <w:color w:val="000000" w:themeColor="text1"/>
                <w:sz w:val="24"/>
                <w:lang w:val="en-US" w:eastAsia="zh-CN"/>
                <w14:textFill>
                  <w14:solidFill>
                    <w14:schemeClr w14:val="tx1"/>
                  </w14:solidFill>
                </w14:textFill>
              </w:rPr>
              <w:t>要求，贮存需执行</w:t>
            </w:r>
            <w:r>
              <w:rPr>
                <w:color w:val="000000" w:themeColor="text1"/>
                <w:sz w:val="24"/>
                <w14:textFill>
                  <w14:solidFill>
                    <w14:schemeClr w14:val="tx1"/>
                  </w14:solidFill>
                </w14:textFill>
              </w:rPr>
              <w:t>《一般工业固体废物贮存和填埋污染控制标准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 18599-2020</w:t>
            </w: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99" w:hRule="atLeast"/>
          <w:jc w:val="center"/>
        </w:trPr>
        <w:tc>
          <w:tcPr>
            <w:tcW w:w="692"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指标</w:t>
            </w:r>
          </w:p>
        </w:tc>
        <w:tc>
          <w:tcPr>
            <w:tcW w:w="8946" w:type="dxa"/>
            <w:vAlign w:val="center"/>
          </w:tcPr>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本项目总量控制指标见下表。</w:t>
            </w:r>
            <w:r>
              <w:rPr>
                <w:rFonts w:hint="eastAsia"/>
                <w:color w:val="000000" w:themeColor="text1"/>
                <w:sz w:val="24"/>
                <w14:textFill>
                  <w14:solidFill>
                    <w14:schemeClr w14:val="tx1"/>
                  </w14:solidFill>
                </w14:textFill>
              </w:rPr>
              <w:t>本项目总量指标由伊春市主管部门进行分配。</w:t>
            </w:r>
          </w:p>
          <w:p>
            <w:pPr>
              <w:pStyle w:val="117"/>
              <w:adjustRightInd/>
              <w:snapToGrid/>
              <w:rPr>
                <w:rFonts w:eastAsia="宋体"/>
                <w:b/>
                <w:bCs/>
                <w:color w:val="000000" w:themeColor="text1"/>
                <w:sz w:val="21"/>
                <w:szCs w:val="21"/>
                <w:highlight w:val="none"/>
                <w14:textFill>
                  <w14:solidFill>
                    <w14:schemeClr w14:val="tx1"/>
                  </w14:solidFill>
                </w14:textFill>
              </w:rPr>
            </w:pPr>
            <w:r>
              <w:rPr>
                <w:rFonts w:eastAsia="宋体"/>
                <w:b/>
                <w:bCs/>
                <w:color w:val="000000" w:themeColor="text1"/>
                <w:sz w:val="21"/>
                <w:szCs w:val="21"/>
                <w:highlight w:val="none"/>
                <w14:textFill>
                  <w14:solidFill>
                    <w14:schemeClr w14:val="tx1"/>
                  </w14:solidFill>
                </w14:textFill>
              </w:rPr>
              <w:t>表3-</w:t>
            </w:r>
            <w:r>
              <w:rPr>
                <w:rFonts w:hint="eastAsia" w:eastAsia="宋体"/>
                <w:b/>
                <w:bCs/>
                <w:color w:val="000000" w:themeColor="text1"/>
                <w:sz w:val="21"/>
                <w:szCs w:val="21"/>
                <w:highlight w:val="none"/>
                <w:lang w:val="en-US" w:eastAsia="zh-CN"/>
                <w14:textFill>
                  <w14:solidFill>
                    <w14:schemeClr w14:val="tx1"/>
                  </w14:solidFill>
                </w14:textFill>
              </w:rPr>
              <w:t>11</w:t>
            </w:r>
            <w:r>
              <w:rPr>
                <w:rFonts w:hint="eastAsia" w:eastAsia="宋体"/>
                <w:b/>
                <w:bCs/>
                <w:color w:val="000000" w:themeColor="text1"/>
                <w:sz w:val="21"/>
                <w:szCs w:val="21"/>
                <w:highlight w:val="none"/>
                <w14:textFill>
                  <w14:solidFill>
                    <w14:schemeClr w14:val="tx1"/>
                  </w14:solidFill>
                </w14:textFill>
              </w:rPr>
              <w:t xml:space="preserve"> </w:t>
            </w:r>
            <w:r>
              <w:rPr>
                <w:rFonts w:eastAsia="宋体"/>
                <w:b/>
                <w:bCs/>
                <w:color w:val="000000" w:themeColor="text1"/>
                <w:sz w:val="21"/>
                <w:szCs w:val="21"/>
                <w:highlight w:val="none"/>
                <w14:textFill>
                  <w14:solidFill>
                    <w14:schemeClr w14:val="tx1"/>
                  </w14:solidFill>
                </w14:textFill>
              </w:rPr>
              <w:t>本项目总量控制指标情况表  单位：t/a</w:t>
            </w:r>
          </w:p>
          <w:tbl>
            <w:tblPr>
              <w:tblStyle w:val="37"/>
              <w:tblW w:w="863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6"/>
              <w:gridCol w:w="2890"/>
              <w:gridCol w:w="28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6"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污染物</w:t>
                  </w:r>
                </w:p>
              </w:tc>
              <w:tc>
                <w:tcPr>
                  <w:tcW w:w="2890"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预测排放量</w:t>
                  </w:r>
                </w:p>
              </w:tc>
              <w:tc>
                <w:tcPr>
                  <w:tcW w:w="2838"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6" w:type="dxa"/>
                  <w:tcBorders>
                    <w:tl2br w:val="nil"/>
                    <w:tr2bl w:val="nil"/>
                  </w:tcBorders>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28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1.162</w:t>
                  </w:r>
                </w:p>
              </w:tc>
              <w:tc>
                <w:tcPr>
                  <w:tcW w:w="2838" w:type="dxa"/>
                  <w:tcBorders>
                    <w:tl2br w:val="nil"/>
                    <w:tr2bl w:val="nil"/>
                  </w:tcBorders>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6"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二氧化硫</w:t>
                  </w:r>
                </w:p>
              </w:tc>
              <w:tc>
                <w:tcPr>
                  <w:tcW w:w="28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2.391</w:t>
                  </w:r>
                </w:p>
              </w:tc>
              <w:tc>
                <w:tcPr>
                  <w:tcW w:w="2838" w:type="dxa"/>
                  <w:tcBorders>
                    <w:tl2br w:val="nil"/>
                    <w:tr2bl w:val="nil"/>
                  </w:tcBorders>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6" w:type="dxa"/>
                  <w:tcBorders>
                    <w:tl2br w:val="nil"/>
                    <w:tr2bl w:val="nil"/>
                  </w:tcBorders>
                  <w:vAlign w:val="center"/>
                </w:tcPr>
                <w:p>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氮氧化物</w:t>
                  </w:r>
                </w:p>
              </w:tc>
              <w:tc>
                <w:tcPr>
                  <w:tcW w:w="289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3.362</w:t>
                  </w:r>
                </w:p>
              </w:tc>
              <w:tc>
                <w:tcPr>
                  <w:tcW w:w="2838" w:type="dxa"/>
                  <w:tcBorders>
                    <w:tl2br w:val="nil"/>
                    <w:tr2bl w:val="nil"/>
                  </w:tcBorders>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8.479</w:t>
                  </w:r>
                </w:p>
              </w:tc>
            </w:tr>
          </w:tbl>
          <w:p>
            <w:pPr>
              <w:spacing w:line="360" w:lineRule="auto"/>
              <w:rPr>
                <w:color w:val="000000" w:themeColor="text1"/>
                <w:sz w:val="24"/>
                <w14:textFill>
                  <w14:solidFill>
                    <w14:schemeClr w14:val="tx1"/>
                  </w14:solidFill>
                </w14:textFill>
              </w:rPr>
            </w:pPr>
          </w:p>
        </w:tc>
      </w:tr>
    </w:tbl>
    <w:p>
      <w:pPr>
        <w:pStyle w:val="3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bookmarkStart w:id="27" w:name="_Toc17709"/>
      <w:r>
        <w:rPr>
          <w:rFonts w:ascii="Times New Roman" w:hAnsi="Times New Roman" w:eastAsia="黑体"/>
          <w:snapToGrid w:val="0"/>
          <w:color w:val="000000" w:themeColor="text1"/>
          <w:sz w:val="30"/>
          <w:szCs w:val="30"/>
          <w14:textFill>
            <w14:solidFill>
              <w14:schemeClr w14:val="tx1"/>
            </w14:solidFill>
          </w14:textFill>
        </w:rPr>
        <w:t>四、主要环境影响和保护措施</w:t>
      </w:r>
      <w:bookmarkEnd w:id="27"/>
    </w:p>
    <w:tbl>
      <w:tblPr>
        <w:tblStyle w:val="36"/>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4"/>
        <w:gridCol w:w="89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jc w:val="center"/>
        </w:trPr>
        <w:tc>
          <w:tcPr>
            <w:tcW w:w="654" w:type="dxa"/>
            <w:tcMar>
              <w:left w:w="28" w:type="dxa"/>
              <w:right w:w="28" w:type="dxa"/>
            </w:tcMar>
            <w:vAlign w:val="center"/>
          </w:tcPr>
          <w:p>
            <w:pPr>
              <w:pStyle w:val="31"/>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pPr>
              <w:pStyle w:val="31"/>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期环</w:t>
            </w:r>
          </w:p>
          <w:p>
            <w:pPr>
              <w:pStyle w:val="31"/>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境保</w:t>
            </w:r>
          </w:p>
          <w:p>
            <w:pPr>
              <w:pStyle w:val="31"/>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护措</w:t>
            </w:r>
          </w:p>
          <w:p>
            <w:pPr>
              <w:pStyle w:val="31"/>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w:t>
            </w:r>
          </w:p>
        </w:tc>
        <w:tc>
          <w:tcPr>
            <w:tcW w:w="8984" w:type="dxa"/>
            <w:vAlign w:val="center"/>
          </w:tcPr>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本项目施工期利用</w:t>
            </w:r>
            <w:r>
              <w:rPr>
                <w:rFonts w:hint="eastAsia"/>
                <w:color w:val="000000" w:themeColor="text1"/>
                <w:sz w:val="24"/>
                <w:lang w:eastAsia="zh-CN"/>
                <w14:textFill>
                  <w14:solidFill>
                    <w14:schemeClr w14:val="tx1"/>
                  </w14:solidFill>
                </w14:textFill>
              </w:rPr>
              <w:t>嘉荫县向阳乡人民政府</w:t>
            </w:r>
            <w:r>
              <w:rPr>
                <w:rFonts w:hint="eastAsia"/>
                <w:color w:val="000000" w:themeColor="text1"/>
                <w:sz w:val="24"/>
                <w14:textFill>
                  <w14:solidFill>
                    <w14:schemeClr w14:val="tx1"/>
                  </w14:solidFill>
                </w14:textFill>
              </w:rPr>
              <w:t>现有房屋，主要进行</w:t>
            </w:r>
            <w:r>
              <w:rPr>
                <w:rFonts w:hint="eastAsia"/>
                <w:color w:val="000000" w:themeColor="text1"/>
                <w:sz w:val="24"/>
                <w:lang w:val="en-US" w:eastAsia="zh-CN"/>
                <w14:textFill>
                  <w14:solidFill>
                    <w14:schemeClr w14:val="tx1"/>
                  </w14:solidFill>
                </w14:textFill>
              </w:rPr>
              <w:t>锅炉设备及环保设施安装</w:t>
            </w:r>
            <w:r>
              <w:rPr>
                <w:rFonts w:hint="eastAsia"/>
                <w:color w:val="000000" w:themeColor="text1"/>
                <w:sz w:val="24"/>
                <w14:textFill>
                  <w14:solidFill>
                    <w14:schemeClr w14:val="tx1"/>
                  </w14:solidFill>
                </w14:textFill>
              </w:rPr>
              <w:t>，对环境影响较小，因此不</w:t>
            </w:r>
            <w:r>
              <w:rPr>
                <w:rFonts w:hint="eastAsia"/>
                <w:color w:val="000000" w:themeColor="text1"/>
                <w:sz w:val="24"/>
                <w:lang w:eastAsia="zh-CN"/>
                <w14:textFill>
                  <w14:solidFill>
                    <w14:schemeClr w14:val="tx1"/>
                  </w14:solidFill>
                </w14:textFill>
              </w:rPr>
              <w:t>作</w:t>
            </w:r>
            <w:r>
              <w:rPr>
                <w:rFonts w:hint="eastAsia"/>
                <w:color w:val="000000" w:themeColor="text1"/>
                <w:sz w:val="24"/>
                <w14:textFill>
                  <w14:solidFill>
                    <w14:schemeClr w14:val="tx1"/>
                  </w14:solidFill>
                </w14:textFill>
              </w:rPr>
              <w:t>具体分析。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80" w:hRule="atLeast"/>
          <w:jc w:val="center"/>
        </w:trPr>
        <w:tc>
          <w:tcPr>
            <w:tcW w:w="654" w:type="dxa"/>
            <w:tcMar>
              <w:left w:w="28" w:type="dxa"/>
              <w:right w:w="28" w:type="dxa"/>
            </w:tcMar>
            <w:vAlign w:val="center"/>
          </w:tcPr>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期环</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境影</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响和</w:t>
            </w:r>
          </w:p>
          <w:p>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保护</w:t>
            </w:r>
          </w:p>
          <w:p>
            <w:pPr>
              <w:adjustRightInd w:val="0"/>
              <w:snapToGrid w:val="0"/>
              <w:jc w:val="center"/>
              <w:rPr>
                <w:bCs/>
                <w:color w:val="000000" w:themeColor="text1"/>
                <w:szCs w:val="21"/>
                <w14:textFill>
                  <w14:solidFill>
                    <w14:schemeClr w14:val="tx1"/>
                  </w14:solidFill>
                </w14:textFill>
              </w:rPr>
            </w:pPr>
            <w:r>
              <w:rPr>
                <w:bCs/>
                <w:color w:val="000000" w:themeColor="text1"/>
                <w:sz w:val="24"/>
                <w14:textFill>
                  <w14:solidFill>
                    <w14:schemeClr w14:val="tx1"/>
                  </w14:solidFill>
                </w14:textFill>
              </w:rPr>
              <w:t>措施</w:t>
            </w:r>
          </w:p>
        </w:tc>
        <w:tc>
          <w:tcPr>
            <w:tcW w:w="8984" w:type="dxa"/>
            <w:vAlign w:val="center"/>
          </w:tcPr>
          <w:p>
            <w:pPr>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1、废气</w:t>
            </w:r>
          </w:p>
          <w:p>
            <w:pPr>
              <w:pStyle w:val="124"/>
              <w:adjustRightInd w:val="0"/>
              <w:spacing w:line="336"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本项目锅炉除渣过程在锅炉房内完成，并配合洒水降尘措施，锅炉灰渣暂存在锅炉房内的灰渣区，锅炉灰渣粉尘对外环境影响较小，本项目生物质燃料采用编织袋密封保存。厂界无组织颗粒物满足</w:t>
            </w:r>
            <w:r>
              <w:rPr>
                <w:bCs/>
                <w:color w:val="000000" w:themeColor="text1"/>
                <w:kern w:val="0"/>
                <w:sz w:val="24"/>
                <w14:textFill>
                  <w14:solidFill>
                    <w14:schemeClr w14:val="tx1"/>
                  </w14:solidFill>
                </w14:textFill>
              </w:rPr>
              <w:t>《大气污染物综合排放标准》（GB16297-1996）</w:t>
            </w:r>
            <w:r>
              <w:rPr>
                <w:rFonts w:hint="eastAsia"/>
                <w:bCs/>
                <w:color w:val="000000" w:themeColor="text1"/>
                <w:kern w:val="0"/>
                <w:sz w:val="24"/>
                <w14:textFill>
                  <w14:solidFill>
                    <w14:schemeClr w14:val="tx1"/>
                  </w14:solidFill>
                </w14:textFill>
              </w:rPr>
              <w:t>要求</w:t>
            </w:r>
            <w:r>
              <w:rPr>
                <w:rFonts w:hint="eastAsia"/>
                <w:color w:val="000000" w:themeColor="text1"/>
                <w:sz w:val="24"/>
                <w14:textFill>
                  <w14:solidFill>
                    <w14:schemeClr w14:val="tx1"/>
                  </w14:solidFill>
                </w14:textFill>
              </w:rPr>
              <w:t>。</w:t>
            </w:r>
          </w:p>
          <w:p>
            <w:pPr>
              <w:pStyle w:val="124"/>
              <w:adjustRightInd w:val="0"/>
              <w:spacing w:line="336"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本项目运营期产生的废气主要为燃生物质锅炉产生的锅炉烟气</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1、</w:t>
            </w:r>
            <w:r>
              <w:rPr>
                <w:rFonts w:hint="eastAsia"/>
                <w:color w:val="000000" w:themeColor="text1"/>
                <w:sz w:val="24"/>
                <w:szCs w:val="32"/>
                <w14:textFill>
                  <w14:solidFill>
                    <w14:schemeClr w14:val="tx1"/>
                  </w14:solidFill>
                </w14:textFill>
              </w:rPr>
              <w:t>源强核算</w:t>
            </w:r>
          </w:p>
          <w:p>
            <w:pPr>
              <w:spacing w:line="360" w:lineRule="auto"/>
              <w:ind w:firstLine="480" w:firstLineChars="20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（1）正常工况</w:t>
            </w:r>
          </w:p>
          <w:p>
            <w:pPr>
              <w:spacing w:line="360" w:lineRule="auto"/>
              <w:ind w:firstLine="480" w:firstLineChars="200"/>
              <w:rPr>
                <w:color w:val="000000" w:themeColor="text1"/>
                <w:sz w:val="24"/>
                <w:szCs w:val="32"/>
                <w14:textFill>
                  <w14:solidFill>
                    <w14:schemeClr w14:val="tx1"/>
                  </w14:solidFill>
                </w14:textFill>
              </w:rPr>
            </w:pPr>
            <w:r>
              <w:rPr>
                <w:rFonts w:hint="eastAsia"/>
                <w:color w:val="000000" w:themeColor="text1"/>
                <w:sz w:val="24"/>
                <w:szCs w:val="32"/>
                <w14:textFill>
                  <w14:solidFill>
                    <w14:schemeClr w14:val="tx1"/>
                  </w14:solidFill>
                </w14:textFill>
              </w:rPr>
              <w:t>①锅炉烟气</w:t>
            </w:r>
          </w:p>
          <w:p>
            <w:pPr>
              <w:spacing w:line="360" w:lineRule="auto"/>
              <w:ind w:firstLine="480" w:firstLineChars="200"/>
              <w:rPr>
                <w:color w:val="000000" w:themeColor="text1"/>
                <w:sz w:val="24"/>
                <w:szCs w:val="32"/>
                <w14:textFill>
                  <w14:solidFill>
                    <w14:schemeClr w14:val="tx1"/>
                  </w14:solidFill>
                </w14:textFill>
              </w:rPr>
            </w:pPr>
            <w:bookmarkStart w:id="28" w:name="_Hlk65495833"/>
            <w:r>
              <w:rPr>
                <w:color w:val="000000" w:themeColor="text1"/>
                <w:sz w:val="24"/>
                <w:szCs w:val="32"/>
                <w14:textFill>
                  <w14:solidFill>
                    <w14:schemeClr w14:val="tx1"/>
                  </w14:solidFill>
                </w14:textFill>
              </w:rPr>
              <w:t>锅炉</w:t>
            </w:r>
            <w:r>
              <w:rPr>
                <w:rFonts w:hint="eastAsia"/>
                <w:color w:val="000000" w:themeColor="text1"/>
                <w:sz w:val="24"/>
                <w:szCs w:val="32"/>
                <w14:textFill>
                  <w14:solidFill>
                    <w14:schemeClr w14:val="tx1"/>
                  </w14:solidFill>
                </w14:textFill>
              </w:rPr>
              <w:t>烟气量、氮氧化物源强、二氧化硫源强</w:t>
            </w:r>
            <w:r>
              <w:rPr>
                <w:color w:val="000000" w:themeColor="text1"/>
                <w:sz w:val="24"/>
                <w:szCs w:val="32"/>
                <w14:textFill>
                  <w14:solidFill>
                    <w14:schemeClr w14:val="tx1"/>
                  </w14:solidFill>
                </w14:textFill>
              </w:rPr>
              <w:t>根据《污染源源强核算技术指南 锅炉》（HJ</w:t>
            </w:r>
            <w:r>
              <w:rPr>
                <w:rFonts w:hint="eastAsia"/>
                <w:color w:val="000000" w:themeColor="text1"/>
                <w:sz w:val="24"/>
                <w:szCs w:val="32"/>
                <w14:textFill>
                  <w14:solidFill>
                    <w14:schemeClr w14:val="tx1"/>
                  </w14:solidFill>
                </w14:textFill>
              </w:rPr>
              <w:t>991</w:t>
            </w:r>
            <w:r>
              <w:rPr>
                <w:color w:val="000000" w:themeColor="text1"/>
                <w:sz w:val="24"/>
                <w:szCs w:val="32"/>
                <w14:textFill>
                  <w14:solidFill>
                    <w14:schemeClr w14:val="tx1"/>
                  </w14:solidFill>
                </w14:textFill>
              </w:rPr>
              <w:t>-2018）</w:t>
            </w:r>
            <w:r>
              <w:rPr>
                <w:rFonts w:hint="eastAsia"/>
                <w:color w:val="000000" w:themeColor="text1"/>
                <w:sz w:val="24"/>
                <w:szCs w:val="32"/>
                <w14:textFill>
                  <w14:solidFill>
                    <w14:schemeClr w14:val="tx1"/>
                  </w14:solidFill>
                </w14:textFill>
              </w:rPr>
              <w:t>物料衡算法计算源强</w:t>
            </w:r>
            <w:bookmarkEnd w:id="28"/>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 xml:space="preserve"> </w:t>
            </w:r>
          </w:p>
          <w:p>
            <w:pPr>
              <w:spacing w:line="360" w:lineRule="auto"/>
              <w:ind w:firstLine="480" w:firstLineChars="200"/>
              <w:rPr>
                <w:color w:val="000000" w:themeColor="text1"/>
                <w:sz w:val="24"/>
                <w:szCs w:val="32"/>
                <w14:textFill>
                  <w14:solidFill>
                    <w14:schemeClr w14:val="tx1"/>
                  </w14:solidFill>
                </w14:textFill>
              </w:rPr>
            </w:pPr>
            <w:bookmarkStart w:id="29" w:name="_Hlk65495894"/>
            <w:r>
              <w:rPr>
                <w:rFonts w:hint="eastAsia"/>
                <w:color w:val="000000" w:themeColor="text1"/>
                <w:sz w:val="24"/>
                <w:szCs w:val="32"/>
                <w14:textFill>
                  <w14:solidFill>
                    <w14:schemeClr w14:val="tx1"/>
                  </w14:solidFill>
                </w14:textFill>
              </w:rPr>
              <w:t>根据</w:t>
            </w:r>
            <w:r>
              <w:rPr>
                <w:color w:val="000000" w:themeColor="text1"/>
                <w:sz w:val="24"/>
                <w:szCs w:val="32"/>
                <w14:textFill>
                  <w14:solidFill>
                    <w14:schemeClr w14:val="tx1"/>
                  </w14:solidFill>
                </w14:textFill>
              </w:rPr>
              <w:t>《排放源统计调查产排污核算方法和系数手册》（2021年6月11日实施）中</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4430工业锅炉（热力供应）行业系数手册</w:t>
            </w:r>
            <w:r>
              <w:rPr>
                <w:rFonts w:hint="eastAsia"/>
                <w:color w:val="000000" w:themeColor="text1"/>
                <w:sz w:val="24"/>
                <w:szCs w:val="32"/>
                <w14:textFill>
                  <w14:solidFill>
                    <w14:schemeClr w14:val="tx1"/>
                  </w14:solidFill>
                </w14:textFill>
              </w:rPr>
              <w:t>”</w:t>
            </w:r>
            <w:r>
              <w:rPr>
                <w:color w:val="000000" w:themeColor="text1"/>
                <w:sz w:val="24"/>
                <w:szCs w:val="32"/>
                <w14:textFill>
                  <w14:solidFill>
                    <w14:schemeClr w14:val="tx1"/>
                  </w14:solidFill>
                </w14:textFill>
              </w:rPr>
              <w:t>中</w:t>
            </w:r>
            <w:r>
              <w:rPr>
                <w:rFonts w:hint="eastAsia"/>
                <w:color w:val="000000" w:themeColor="text1"/>
                <w:sz w:val="24"/>
                <w:szCs w:val="32"/>
                <w14:textFill>
                  <w14:solidFill>
                    <w14:schemeClr w14:val="tx1"/>
                  </w14:solidFill>
                </w14:textFill>
              </w:rPr>
              <w:t>产污系数表</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生物质工业锅炉</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末端治理技术名称</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袋式除尘确定，除尘效率为</w:t>
            </w:r>
            <w:r>
              <w:rPr>
                <w:color w:val="000000" w:themeColor="text1"/>
                <w:sz w:val="24"/>
                <w:szCs w:val="32"/>
                <w14:textFill>
                  <w14:solidFill>
                    <w14:schemeClr w14:val="tx1"/>
                  </w14:solidFill>
                </w14:textFill>
              </w:rPr>
              <w:t>99.7%</w:t>
            </w:r>
            <w:r>
              <w:rPr>
                <w:rFonts w:hint="eastAsia"/>
                <w:color w:val="000000" w:themeColor="text1"/>
                <w:sz w:val="24"/>
                <w:szCs w:val="32"/>
                <w14:textFill>
                  <w14:solidFill>
                    <w14:schemeClr w14:val="tx1"/>
                  </w14:solidFill>
                </w14:textFill>
              </w:rPr>
              <w:t>；根据污染源源强核算技术指南中表</w:t>
            </w:r>
            <w:r>
              <w:rPr>
                <w:color w:val="000000" w:themeColor="text1"/>
                <w:sz w:val="24"/>
                <w:szCs w:val="32"/>
                <w14:textFill>
                  <w14:solidFill>
                    <w14:schemeClr w14:val="tx1"/>
                  </w14:solidFill>
                </w14:textFill>
              </w:rPr>
              <w:t>B.1</w:t>
            </w:r>
            <w:r>
              <w:rPr>
                <w:rFonts w:hint="eastAsia"/>
                <w:color w:val="000000" w:themeColor="text1"/>
                <w:sz w:val="24"/>
                <w:szCs w:val="32"/>
                <w14:textFill>
                  <w14:solidFill>
                    <w14:schemeClr w14:val="tx1"/>
                  </w14:solidFill>
                </w14:textFill>
              </w:rPr>
              <w:t>确定机械不完全燃烧热损失为10</w:t>
            </w:r>
            <w:r>
              <w:rPr>
                <w:color w:val="000000" w:themeColor="text1"/>
                <w:sz w:val="24"/>
                <w:szCs w:val="32"/>
                <w14:textFill>
                  <w14:solidFill>
                    <w14:schemeClr w14:val="tx1"/>
                  </w14:solidFill>
                </w14:textFill>
              </w:rPr>
              <w:t>%</w:t>
            </w:r>
            <w:r>
              <w:rPr>
                <w:rFonts w:hint="eastAsia"/>
                <w:color w:val="000000" w:themeColor="text1"/>
                <w:sz w:val="24"/>
                <w:szCs w:val="32"/>
                <w14:textFill>
                  <w14:solidFill>
                    <w14:schemeClr w14:val="tx1"/>
                  </w14:solidFill>
                </w14:textFill>
              </w:rPr>
              <w:t>，根据表B</w:t>
            </w:r>
            <w:r>
              <w:rPr>
                <w:color w:val="000000" w:themeColor="text1"/>
                <w:sz w:val="24"/>
                <w:szCs w:val="32"/>
                <w14:textFill>
                  <w14:solidFill>
                    <w14:schemeClr w14:val="tx1"/>
                  </w14:solidFill>
                </w14:textFill>
              </w:rPr>
              <w:t>.2</w:t>
            </w:r>
            <w:r>
              <w:rPr>
                <w:rFonts w:hint="eastAsia"/>
                <w:color w:val="000000" w:themeColor="text1"/>
                <w:sz w:val="24"/>
                <w:szCs w:val="32"/>
                <w14:textFill>
                  <w14:solidFill>
                    <w14:schemeClr w14:val="tx1"/>
                  </w14:solidFill>
                </w14:textFill>
              </w:rPr>
              <w:t>确定飞灰份额为45%。</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a）烟气量按下式计算</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理论空气量：有元素</w:t>
            </w:r>
            <w:r>
              <w:rPr>
                <w:rFonts w:hint="eastAsia"/>
                <w:color w:val="000000" w:themeColor="text1"/>
                <w:sz w:val="24"/>
                <w:szCs w:val="32"/>
                <w14:textFill>
                  <w14:solidFill>
                    <w14:schemeClr w14:val="tx1"/>
                  </w14:solidFill>
                </w14:textFill>
              </w:rPr>
              <w:t>成分</w:t>
            </w:r>
            <w:r>
              <w:rPr>
                <w:color w:val="000000" w:themeColor="text1"/>
                <w:sz w:val="24"/>
                <w:szCs w:val="32"/>
                <w14:textFill>
                  <w14:solidFill>
                    <w14:schemeClr w14:val="tx1"/>
                  </w14:solidFill>
                </w14:textFill>
              </w:rPr>
              <w:t>分析时理论空气量可用公式计算</w:t>
            </w:r>
            <w:r>
              <w:rPr>
                <w:rFonts w:hint="eastAsia"/>
                <w:color w:val="000000" w:themeColor="text1"/>
                <w:sz w:val="24"/>
                <w:szCs w:val="32"/>
                <w14:textFill>
                  <w14:solidFill>
                    <w14:schemeClr w14:val="tx1"/>
                  </w14:solidFill>
                </w14:textFill>
              </w:rPr>
              <w:t>：</w:t>
            </w:r>
          </w:p>
          <w:p>
            <w:pPr>
              <w:spacing w:line="440" w:lineRule="exact"/>
              <w:ind w:firstLine="420" w:firstLineChars="200"/>
              <w:rPr>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3317875" cy="213360"/>
                          </a:xfrm>
                          <a:prstGeom prst="rect">
                            <a:avLst/>
                          </a:prstGeom>
                          <a:noFill/>
                          <a:ln>
                            <a:noFill/>
                          </a:ln>
                        </pic:spPr>
                      </pic:pic>
                    </a:graphicData>
                  </a:graphic>
                </wp:anchor>
              </w:drawing>
            </w: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w:t>
            </w:r>
            <w:r>
              <w:rPr>
                <w:color w:val="000000" w:themeColor="text1"/>
                <w:sz w:val="24"/>
                <w14:textFill>
                  <w14:solidFill>
                    <w14:schemeClr w14:val="tx1"/>
                  </w14:solidFill>
                </w14:textFill>
              </w:rPr>
              <w:t>中，V</w:t>
            </w:r>
            <w:r>
              <w:rPr>
                <w:rFonts w:hint="eastAsia"/>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理论空气量</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kg</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ar——收到基</w:t>
            </w:r>
            <w:r>
              <w:rPr>
                <w:rFonts w:hint="eastAsia"/>
                <w:color w:val="000000" w:themeColor="text1"/>
                <w:sz w:val="24"/>
                <w14:textFill>
                  <w14:solidFill>
                    <w14:schemeClr w14:val="tx1"/>
                  </w14:solidFill>
                </w14:textFill>
              </w:rPr>
              <w:t>碳</w:t>
            </w:r>
            <w:r>
              <w:rPr>
                <w:color w:val="000000" w:themeColor="text1"/>
                <w:sz w:val="24"/>
                <w14:textFill>
                  <w14:solidFill>
                    <w14:schemeClr w14:val="tx1"/>
                  </w14:solidFill>
                </w14:textFill>
              </w:rPr>
              <w:t>的质量分数，取</w:t>
            </w:r>
            <w:r>
              <w:rPr>
                <w:rFonts w:hint="eastAsia"/>
                <w:color w:val="000000" w:themeColor="text1"/>
                <w:sz w:val="24"/>
                <w14:textFill>
                  <w14:solidFill>
                    <w14:schemeClr w14:val="tx1"/>
                  </w14:solidFill>
                </w14:textFill>
              </w:rPr>
              <w:t>38.82</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Sar——收到基硫含量，取</w:t>
            </w:r>
            <w:r>
              <w:rPr>
                <w:rFonts w:hint="eastAsia"/>
                <w:color w:val="000000" w:themeColor="text1"/>
                <w:sz w:val="24"/>
                <w14:textFill>
                  <w14:solidFill>
                    <w14:schemeClr w14:val="tx1"/>
                  </w14:solidFill>
                </w14:textFill>
              </w:rPr>
              <w:t>0.07</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Har——收到基氢含量，取</w:t>
            </w:r>
            <w:r>
              <w:rPr>
                <w:rFonts w:hint="eastAsia"/>
                <w:color w:val="000000" w:themeColor="text1"/>
                <w:sz w:val="24"/>
                <w14:textFill>
                  <w14:solidFill>
                    <w14:schemeClr w14:val="tx1"/>
                  </w14:solidFill>
                </w14:textFill>
              </w:rPr>
              <w:t>4.38</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Qar——收到基氧含量，取</w:t>
            </w:r>
            <w:r>
              <w:rPr>
                <w:rFonts w:hint="eastAsia"/>
                <w:color w:val="000000" w:themeColor="text1"/>
                <w:sz w:val="24"/>
                <w14:textFill>
                  <w14:solidFill>
                    <w14:schemeClr w14:val="tx1"/>
                  </w14:solidFill>
                </w14:textFill>
              </w:rPr>
              <w:t>33.13</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干烟气排放量可用公式计算</w:t>
            </w:r>
            <w:r>
              <w:rPr>
                <w:rFonts w:hint="eastAsia"/>
                <w:color w:val="000000" w:themeColor="text1"/>
                <w:sz w:val="24"/>
                <w14:textFill>
                  <w14:solidFill>
                    <w14:schemeClr w14:val="tx1"/>
                  </w14:solidFill>
                </w14:textFill>
              </w:rPr>
              <w:t>：</w:t>
            </w:r>
          </w:p>
          <w:p>
            <w:pPr>
              <w:pStyle w:val="4"/>
              <w:spacing w:before="0" w:after="0" w:line="360" w:lineRule="auto"/>
              <w:ind w:left="0" w:firstLine="480" w:firstLineChars="200"/>
              <w:rPr>
                <w:b w:val="0"/>
                <w:bCs w:val="0"/>
                <w:color w:val="000000" w:themeColor="text1"/>
                <w:sz w:val="24"/>
                <w:szCs w:val="24"/>
                <w14:textFill>
                  <w14:solidFill>
                    <w14:schemeClr w14:val="tx1"/>
                  </w14:solidFill>
                </w14:textFill>
              </w:rPr>
            </w:pPr>
            <w:bookmarkStart w:id="30" w:name="_Toc15083"/>
            <w:bookmarkStart w:id="31" w:name="_Toc13746"/>
            <w:bookmarkStart w:id="32" w:name="_Toc22421"/>
            <m:oMath>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V</m:t>
                  </m:r>
                  <m:ctrlPr>
                    <w:rPr>
                      <w:rFonts w:ascii="Cambria Math" w:hAnsi="Cambria Math"/>
                      <w:b w:val="0"/>
                      <w:bCs w:val="0"/>
                      <w:color w:val="000000" w:themeColor="text1"/>
                      <w:sz w:val="24"/>
                      <w:szCs w:val="24"/>
                      <w14:textFill>
                        <w14:solidFill>
                          <w14:schemeClr w14:val="tx1"/>
                        </w14:solidFill>
                      </w14:textFill>
                    </w:rPr>
                  </m:ctrlPr>
                </m:e>
                <m:sub>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RO</m:t>
                      </m:r>
                      <m:ctrlPr>
                        <w:rPr>
                          <w:rFonts w:ascii="Cambria Math" w:hAnsi="Cambria Math"/>
                          <w:b w:val="0"/>
                          <w:bCs w:val="0"/>
                          <w:color w:val="000000" w:themeColor="text1"/>
                          <w:sz w:val="24"/>
                          <w:szCs w:val="24"/>
                          <w14:textFill>
                            <w14:solidFill>
                              <w14:schemeClr w14:val="tx1"/>
                            </w14:solidFill>
                          </w14:textFill>
                        </w:rPr>
                      </m:ctrlPr>
                    </m:e>
                    <m:sub>
                      <m:r>
                        <m:rPr>
                          <m:nor/>
                          <m:sty m:val="p"/>
                        </m:rPr>
                        <w:rPr>
                          <w:b w:val="0"/>
                          <w:bCs w:val="0"/>
                          <w:i w:val="0"/>
                          <w:color w:val="000000" w:themeColor="text1"/>
                          <w:sz w:val="24"/>
                          <w:szCs w:val="24"/>
                          <w14:textFill>
                            <w14:solidFill>
                              <w14:schemeClr w14:val="tx1"/>
                            </w14:solidFill>
                          </w14:textFill>
                        </w:rPr>
                        <m:t>2</m:t>
                      </m:r>
                      <m:ctrlPr>
                        <w:rPr>
                          <w:rFonts w:ascii="Cambria Math" w:hAnsi="Cambria Math"/>
                          <w:b w:val="0"/>
                          <w:bCs w:val="0"/>
                          <w:color w:val="000000" w:themeColor="text1"/>
                          <w:sz w:val="24"/>
                          <w:szCs w:val="24"/>
                          <w14:textFill>
                            <w14:solidFill>
                              <w14:schemeClr w14:val="tx1"/>
                            </w14:solidFill>
                          </w14:textFill>
                        </w:rPr>
                      </m:ctrlPr>
                    </m:sub>
                  </m:sSub>
                  <m:ctrlPr>
                    <w:rPr>
                      <w:rFonts w:ascii="Cambria Math" w:hAnsi="Cambria Math"/>
                      <w:b w:val="0"/>
                      <w:bCs w:val="0"/>
                      <w:color w:val="000000" w:themeColor="text1"/>
                      <w:sz w:val="24"/>
                      <w:szCs w:val="24"/>
                      <w14:textFill>
                        <w14:solidFill>
                          <w14:schemeClr w14:val="tx1"/>
                        </w14:solidFill>
                      </w14:textFill>
                    </w:rPr>
                  </m:ctrlPr>
                </m:sub>
              </m:sSub>
              <m:r>
                <m:rPr>
                  <m:nor/>
                  <m:sty m:val="p"/>
                </m:rPr>
                <w:rPr>
                  <w:b w:val="0"/>
                  <w:bCs w:val="0"/>
                  <w:i w:val="0"/>
                  <w:color w:val="000000" w:themeColor="text1"/>
                  <w:sz w:val="24"/>
                  <w:szCs w:val="24"/>
                  <w14:textFill>
                    <w14:solidFill>
                      <w14:schemeClr w14:val="tx1"/>
                    </w14:solidFill>
                  </w14:textFill>
                </w:rPr>
                <m:t>=</m:t>
              </m:r>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V</m:t>
                  </m:r>
                  <m:ctrlPr>
                    <w:rPr>
                      <w:rFonts w:ascii="Cambria Math" w:hAnsi="Cambria Math"/>
                      <w:b w:val="0"/>
                      <w:bCs w:val="0"/>
                      <w:color w:val="000000" w:themeColor="text1"/>
                      <w:sz w:val="24"/>
                      <w:szCs w:val="24"/>
                      <w14:textFill>
                        <w14:solidFill>
                          <w14:schemeClr w14:val="tx1"/>
                        </w14:solidFill>
                      </w14:textFill>
                    </w:rPr>
                  </m:ctrlPr>
                </m:e>
                <m:sub>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CO</m:t>
                      </m:r>
                      <m:ctrlPr>
                        <w:rPr>
                          <w:rFonts w:ascii="Cambria Math" w:hAnsi="Cambria Math"/>
                          <w:b w:val="0"/>
                          <w:bCs w:val="0"/>
                          <w:color w:val="000000" w:themeColor="text1"/>
                          <w:sz w:val="24"/>
                          <w:szCs w:val="24"/>
                          <w14:textFill>
                            <w14:solidFill>
                              <w14:schemeClr w14:val="tx1"/>
                            </w14:solidFill>
                          </w14:textFill>
                        </w:rPr>
                      </m:ctrlPr>
                    </m:e>
                    <m:sub>
                      <m:r>
                        <m:rPr>
                          <m:nor/>
                          <m:sty m:val="p"/>
                        </m:rPr>
                        <w:rPr>
                          <w:b w:val="0"/>
                          <w:bCs w:val="0"/>
                          <w:i w:val="0"/>
                          <w:color w:val="000000" w:themeColor="text1"/>
                          <w:sz w:val="24"/>
                          <w:szCs w:val="24"/>
                          <w14:textFill>
                            <w14:solidFill>
                              <w14:schemeClr w14:val="tx1"/>
                            </w14:solidFill>
                          </w14:textFill>
                        </w:rPr>
                        <m:t>2</m:t>
                      </m:r>
                      <m:ctrlPr>
                        <w:rPr>
                          <w:rFonts w:ascii="Cambria Math" w:hAnsi="Cambria Math"/>
                          <w:b w:val="0"/>
                          <w:bCs w:val="0"/>
                          <w:color w:val="000000" w:themeColor="text1"/>
                          <w:sz w:val="24"/>
                          <w:szCs w:val="24"/>
                          <w14:textFill>
                            <w14:solidFill>
                              <w14:schemeClr w14:val="tx1"/>
                            </w14:solidFill>
                          </w14:textFill>
                        </w:rPr>
                      </m:ctrlPr>
                    </m:sub>
                  </m:sSub>
                  <m:ctrlPr>
                    <w:rPr>
                      <w:rFonts w:ascii="Cambria Math" w:hAnsi="Cambria Math"/>
                      <w:b w:val="0"/>
                      <w:bCs w:val="0"/>
                      <w:color w:val="000000" w:themeColor="text1"/>
                      <w:sz w:val="24"/>
                      <w:szCs w:val="24"/>
                      <w14:textFill>
                        <w14:solidFill>
                          <w14:schemeClr w14:val="tx1"/>
                        </w14:solidFill>
                      </w14:textFill>
                    </w:rPr>
                  </m:ctrlPr>
                </m:sub>
              </m:sSub>
              <m:r>
                <m:rPr>
                  <m:nor/>
                  <m:sty m:val="p"/>
                </m:rPr>
                <w:rPr>
                  <w:b w:val="0"/>
                  <w:bCs w:val="0"/>
                  <w:i w:val="0"/>
                  <w:color w:val="000000" w:themeColor="text1"/>
                  <w:sz w:val="24"/>
                  <w:szCs w:val="24"/>
                  <w14:textFill>
                    <w14:solidFill>
                      <w14:schemeClr w14:val="tx1"/>
                    </w14:solidFill>
                  </w14:textFill>
                </w:rPr>
                <m:t>+</m:t>
              </m:r>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V</m:t>
                  </m:r>
                  <m:ctrlPr>
                    <w:rPr>
                      <w:rFonts w:ascii="Cambria Math" w:hAnsi="Cambria Math"/>
                      <w:b w:val="0"/>
                      <w:bCs w:val="0"/>
                      <w:color w:val="000000" w:themeColor="text1"/>
                      <w:sz w:val="24"/>
                      <w:szCs w:val="24"/>
                      <w14:textFill>
                        <w14:solidFill>
                          <w14:schemeClr w14:val="tx1"/>
                        </w14:solidFill>
                      </w14:textFill>
                    </w:rPr>
                  </m:ctrlPr>
                </m:e>
                <m:sub>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RO</m:t>
                      </m:r>
                      <m:ctrlPr>
                        <w:rPr>
                          <w:rFonts w:ascii="Cambria Math" w:hAnsi="Cambria Math"/>
                          <w:b w:val="0"/>
                          <w:bCs w:val="0"/>
                          <w:color w:val="000000" w:themeColor="text1"/>
                          <w:sz w:val="24"/>
                          <w:szCs w:val="24"/>
                          <w14:textFill>
                            <w14:solidFill>
                              <w14:schemeClr w14:val="tx1"/>
                            </w14:solidFill>
                          </w14:textFill>
                        </w:rPr>
                      </m:ctrlPr>
                    </m:e>
                    <m:sub>
                      <m:r>
                        <m:rPr>
                          <m:nor/>
                          <m:sty m:val="p"/>
                        </m:rPr>
                        <w:rPr>
                          <w:b w:val="0"/>
                          <w:bCs w:val="0"/>
                          <w:i w:val="0"/>
                          <w:color w:val="000000" w:themeColor="text1"/>
                          <w:sz w:val="24"/>
                          <w:szCs w:val="24"/>
                          <w14:textFill>
                            <w14:solidFill>
                              <w14:schemeClr w14:val="tx1"/>
                            </w14:solidFill>
                          </w14:textFill>
                        </w:rPr>
                        <m:t>2</m:t>
                      </m:r>
                      <m:ctrlPr>
                        <w:rPr>
                          <w:rFonts w:ascii="Cambria Math" w:hAnsi="Cambria Math"/>
                          <w:b w:val="0"/>
                          <w:bCs w:val="0"/>
                          <w:color w:val="000000" w:themeColor="text1"/>
                          <w:sz w:val="24"/>
                          <w:szCs w:val="24"/>
                          <w14:textFill>
                            <w14:solidFill>
                              <w14:schemeClr w14:val="tx1"/>
                            </w14:solidFill>
                          </w14:textFill>
                        </w:rPr>
                      </m:ctrlPr>
                    </m:sub>
                  </m:sSub>
                  <m:ctrlPr>
                    <w:rPr>
                      <w:rFonts w:ascii="Cambria Math" w:hAnsi="Cambria Math"/>
                      <w:b w:val="0"/>
                      <w:bCs w:val="0"/>
                      <w:color w:val="000000" w:themeColor="text1"/>
                      <w:sz w:val="24"/>
                      <w:szCs w:val="24"/>
                      <w14:textFill>
                        <w14:solidFill>
                          <w14:schemeClr w14:val="tx1"/>
                        </w14:solidFill>
                      </w14:textFill>
                    </w:rPr>
                  </m:ctrlPr>
                </m:sub>
              </m:sSub>
              <m:r>
                <m:rPr>
                  <m:nor/>
                  <m:sty m:val="p"/>
                </m:rPr>
                <w:rPr>
                  <w:b w:val="0"/>
                  <w:bCs w:val="0"/>
                  <w:i w:val="0"/>
                  <w:color w:val="000000" w:themeColor="text1"/>
                  <w:sz w:val="24"/>
                  <w:szCs w:val="24"/>
                  <w14:textFill>
                    <w14:solidFill>
                      <w14:schemeClr w14:val="tx1"/>
                    </w14:solidFill>
                  </w14:textFill>
                </w:rPr>
                <m:t>=1.866×</m:t>
              </m:r>
              <m:f>
                <m:fPr>
                  <m:ctrlPr>
                    <w:rPr>
                      <w:rFonts w:ascii="Cambria Math" w:hAnsi="Cambria Math"/>
                      <w:b w:val="0"/>
                      <w:bCs w:val="0"/>
                      <w:color w:val="000000" w:themeColor="text1"/>
                      <w:sz w:val="24"/>
                      <w:szCs w:val="24"/>
                      <w14:textFill>
                        <w14:solidFill>
                          <w14:schemeClr w14:val="tx1"/>
                        </w14:solidFill>
                      </w14:textFill>
                    </w:rPr>
                  </m:ctrlPr>
                </m:fPr>
                <m:num>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C</m:t>
                      </m:r>
                      <m:ctrlPr>
                        <w:rPr>
                          <w:rFonts w:ascii="Cambria Math" w:hAnsi="Cambria Math"/>
                          <w:b w:val="0"/>
                          <w:bCs w:val="0"/>
                          <w:color w:val="000000" w:themeColor="text1"/>
                          <w:sz w:val="24"/>
                          <w:szCs w:val="24"/>
                          <w14:textFill>
                            <w14:solidFill>
                              <w14:schemeClr w14:val="tx1"/>
                            </w14:solidFill>
                          </w14:textFill>
                        </w:rPr>
                      </m:ctrlPr>
                    </m:e>
                    <m:sub>
                      <m:r>
                        <m:rPr>
                          <m:nor/>
                          <m:sty m:val="p"/>
                        </m:rPr>
                        <w:rPr>
                          <w:b w:val="0"/>
                          <w:bCs w:val="0"/>
                          <w:i w:val="0"/>
                          <w:color w:val="000000" w:themeColor="text1"/>
                          <w:sz w:val="24"/>
                          <w:szCs w:val="24"/>
                          <w14:textFill>
                            <w14:solidFill>
                              <w14:schemeClr w14:val="tx1"/>
                            </w14:solidFill>
                          </w14:textFill>
                        </w:rPr>
                        <m:t>ar</m:t>
                      </m:r>
                      <m:ctrlPr>
                        <w:rPr>
                          <w:rFonts w:ascii="Cambria Math" w:hAnsi="Cambria Math"/>
                          <w:b w:val="0"/>
                          <w:bCs w:val="0"/>
                          <w:color w:val="000000" w:themeColor="text1"/>
                          <w:sz w:val="24"/>
                          <w:szCs w:val="24"/>
                          <w14:textFill>
                            <w14:solidFill>
                              <w14:schemeClr w14:val="tx1"/>
                            </w14:solidFill>
                          </w14:textFill>
                        </w:rPr>
                      </m:ctrlPr>
                    </m:sub>
                  </m:sSub>
                  <m:r>
                    <m:rPr>
                      <m:nor/>
                      <m:sty m:val="p"/>
                    </m:rPr>
                    <w:rPr>
                      <w:b w:val="0"/>
                      <w:bCs w:val="0"/>
                      <w:i w:val="0"/>
                      <w:color w:val="000000" w:themeColor="text1"/>
                      <w:sz w:val="24"/>
                      <w:szCs w:val="24"/>
                      <w14:textFill>
                        <w14:solidFill>
                          <w14:schemeClr w14:val="tx1"/>
                        </w14:solidFill>
                      </w14:textFill>
                    </w:rPr>
                    <m:t>+0.375</m:t>
                  </m:r>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S</m:t>
                      </m:r>
                      <m:ctrlPr>
                        <w:rPr>
                          <w:rFonts w:ascii="Cambria Math" w:hAnsi="Cambria Math"/>
                          <w:b w:val="0"/>
                          <w:bCs w:val="0"/>
                          <w:color w:val="000000" w:themeColor="text1"/>
                          <w:sz w:val="24"/>
                          <w:szCs w:val="24"/>
                          <w14:textFill>
                            <w14:solidFill>
                              <w14:schemeClr w14:val="tx1"/>
                            </w14:solidFill>
                          </w14:textFill>
                        </w:rPr>
                      </m:ctrlPr>
                    </m:e>
                    <m:sub>
                      <m:r>
                        <m:rPr>
                          <m:nor/>
                          <m:sty m:val="p"/>
                        </m:rPr>
                        <w:rPr>
                          <w:b w:val="0"/>
                          <w:bCs w:val="0"/>
                          <w:i w:val="0"/>
                          <w:color w:val="000000" w:themeColor="text1"/>
                          <w:sz w:val="24"/>
                          <w:szCs w:val="24"/>
                          <w14:textFill>
                            <w14:solidFill>
                              <w14:schemeClr w14:val="tx1"/>
                            </w14:solidFill>
                          </w14:textFill>
                        </w:rPr>
                        <m:t>ar</m:t>
                      </m:r>
                      <m:ctrlPr>
                        <w:rPr>
                          <w:rFonts w:ascii="Cambria Math" w:hAnsi="Cambria Math"/>
                          <w:b w:val="0"/>
                          <w:bCs w:val="0"/>
                          <w:color w:val="000000" w:themeColor="text1"/>
                          <w:sz w:val="24"/>
                          <w:szCs w:val="24"/>
                          <w14:textFill>
                            <w14:solidFill>
                              <w14:schemeClr w14:val="tx1"/>
                            </w14:solidFill>
                          </w14:textFill>
                        </w:rPr>
                      </m:ctrlPr>
                    </m:sub>
                  </m:sSub>
                  <m:ctrlPr>
                    <w:rPr>
                      <w:rFonts w:ascii="Cambria Math" w:hAnsi="Cambria Math"/>
                      <w:b w:val="0"/>
                      <w:bCs w:val="0"/>
                      <w:color w:val="000000" w:themeColor="text1"/>
                      <w:sz w:val="24"/>
                      <w:szCs w:val="24"/>
                      <w14:textFill>
                        <w14:solidFill>
                          <w14:schemeClr w14:val="tx1"/>
                        </w14:solidFill>
                      </w14:textFill>
                    </w:rPr>
                  </m:ctrlPr>
                </m:num>
                <m:den>
                  <m:r>
                    <m:rPr>
                      <m:nor/>
                      <m:sty m:val="p"/>
                    </m:rPr>
                    <w:rPr>
                      <w:b w:val="0"/>
                      <w:bCs w:val="0"/>
                      <w:i w:val="0"/>
                      <w:color w:val="000000" w:themeColor="text1"/>
                      <w:sz w:val="24"/>
                      <w:szCs w:val="24"/>
                      <w14:textFill>
                        <w14:solidFill>
                          <w14:schemeClr w14:val="tx1"/>
                        </w14:solidFill>
                      </w14:textFill>
                    </w:rPr>
                    <m:t>100</m:t>
                  </m:r>
                  <w:bookmarkEnd w:id="30"/>
                  <w:bookmarkEnd w:id="31"/>
                  <w:bookmarkEnd w:id="32"/>
                  <m:ctrlPr>
                    <w:rPr>
                      <w:rFonts w:ascii="Cambria Math" w:hAnsi="Cambria Math"/>
                      <w:b w:val="0"/>
                      <w:bCs w:val="0"/>
                      <w:color w:val="000000" w:themeColor="text1"/>
                      <w:sz w:val="24"/>
                      <w:szCs w:val="24"/>
                      <w14:textFill>
                        <w14:solidFill>
                          <w14:schemeClr w14:val="tx1"/>
                        </w14:solidFill>
                      </w14:textFill>
                    </w:rPr>
                  </m:ctrlPr>
                </m:den>
              </m:f>
            </m:oMath>
            <w:r>
              <w:rPr>
                <w:rFonts w:ascii="Cambria Math" w:hAnsi="Cambria Math"/>
                <w:b w:val="0"/>
                <w:bCs w:val="0"/>
                <w:color w:val="000000" w:themeColor="text1"/>
                <w:sz w:val="24"/>
                <w:szCs w:val="24"/>
                <w14:textFill>
                  <w14:solidFill>
                    <w14:schemeClr w14:val="tx1"/>
                  </w14:solidFill>
                </w14:textFill>
              </w:rPr>
              <w:t xml:space="preserve"> </w:t>
            </w:r>
          </w:p>
          <w:p>
            <w:pPr>
              <w:spacing w:line="360" w:lineRule="auto"/>
              <w:ind w:firstLine="480" w:firstLineChars="200"/>
              <w:rPr>
                <w:color w:val="000000" w:themeColor="text1"/>
                <w:kern w:val="44"/>
                <w:sz w:val="24"/>
                <w14:textFill>
                  <w14:solidFill>
                    <w14:schemeClr w14:val="tx1"/>
                  </w14:solidFill>
                </w14:textFill>
              </w:rPr>
            </w:pPr>
            <m:oMath>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N</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2</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=0.79</m:t>
              </m:r>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0</m:t>
                  </m:r>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+0.8×</m:t>
              </m:r>
              <m:f>
                <m:fPr>
                  <m:ctrlPr>
                    <w:rPr>
                      <w:rFonts w:ascii="Cambria Math" w:hAnsi="Cambria Math"/>
                      <w:color w:val="000000" w:themeColor="text1"/>
                      <w:kern w:val="44"/>
                      <w:sz w:val="24"/>
                      <w14:textFill>
                        <w14:solidFill>
                          <w14:schemeClr w14:val="tx1"/>
                        </w14:solidFill>
                      </w14:textFill>
                    </w:rPr>
                  </m:ctrlPr>
                </m:fPr>
                <m:num>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N</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ar</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num>
                <m:den>
                  <m:r>
                    <m:rPr>
                      <m:nor/>
                      <m:sty m:val="p"/>
                    </m:rPr>
                    <w:rPr>
                      <w:b w:val="0"/>
                      <w:i w:val="0"/>
                      <w:color w:val="000000" w:themeColor="text1"/>
                      <w:kern w:val="44"/>
                      <w:sz w:val="24"/>
                      <w14:textFill>
                        <w14:solidFill>
                          <w14:schemeClr w14:val="tx1"/>
                        </w14:solidFill>
                      </w14:textFill>
                    </w:rPr>
                    <m:t>100</m:t>
                  </m:r>
                  <m:ctrlPr>
                    <w:rPr>
                      <w:rFonts w:ascii="Cambria Math" w:hAnsi="Cambria Math"/>
                      <w:color w:val="000000" w:themeColor="text1"/>
                      <w:kern w:val="44"/>
                      <w:sz w:val="24"/>
                      <w14:textFill>
                        <w14:solidFill>
                          <w14:schemeClr w14:val="tx1"/>
                        </w14:solidFill>
                      </w14:textFill>
                    </w:rPr>
                  </m:ctrlPr>
                </m:den>
              </m:f>
            </m:oMath>
            <w:r>
              <w:rPr>
                <w:rFonts w:ascii="Cambria Math" w:hAnsi="Cambria Math"/>
                <w:color w:val="000000" w:themeColor="text1"/>
                <w:kern w:val="44"/>
                <w:sz w:val="24"/>
                <w14:textFill>
                  <w14:solidFill>
                    <w14:schemeClr w14:val="tx1"/>
                  </w14:solidFill>
                </w14:textFill>
              </w:rPr>
              <w:t xml:space="preserve"> </w:t>
            </w:r>
          </w:p>
          <w:p>
            <w:pPr>
              <w:pStyle w:val="4"/>
              <w:spacing w:before="0" w:after="0" w:line="360" w:lineRule="auto"/>
              <w:ind w:left="0" w:firstLine="480" w:firstLineChars="200"/>
              <w:rPr>
                <w:b w:val="0"/>
                <w:bCs w:val="0"/>
                <w:color w:val="000000" w:themeColor="text1"/>
                <w:sz w:val="24"/>
                <w:szCs w:val="24"/>
                <w14:textFill>
                  <w14:solidFill>
                    <w14:schemeClr w14:val="tx1"/>
                  </w14:solidFill>
                </w14:textFill>
              </w:rPr>
            </w:pPr>
            <m:oMath>
              <m:sSub>
                <w:bookmarkStart w:id="33" w:name="_Toc28568"/>
                <w:bookmarkStart w:id="34" w:name="_Toc20549"/>
                <w:bookmarkStart w:id="35" w:name="_Toc9120"/>
                <m:sSubPr>
                  <m:ctrlPr>
                    <w:rPr>
                      <w:rFonts w:ascii="Cambria Math" w:hAnsi="Cambria Math"/>
                      <w:b w:val="0"/>
                      <w:bCs w:val="0"/>
                      <w:i/>
                      <w:color w:val="000000" w:themeColor="text1"/>
                      <w:sz w:val="24"/>
                      <w:szCs w:val="24"/>
                      <w14:textFill>
                        <w14:solidFill>
                          <w14:schemeClr w14:val="tx1"/>
                        </w14:solidFill>
                      </w14:textFill>
                    </w:rPr>
                  </m:ctrlPr>
                </m:sSubPr>
                <m:e>
                  <m:r>
                    <m:rPr>
                      <m:nor/>
                    </m:rPr>
                    <w:rPr>
                      <w:b w:val="0"/>
                      <w:bCs w:val="0"/>
                      <w:i/>
                      <w:color w:val="000000" w:themeColor="text1"/>
                      <w:sz w:val="24"/>
                      <w:szCs w:val="24"/>
                      <w14:textFill>
                        <w14:solidFill>
                          <w14:schemeClr w14:val="tx1"/>
                        </w14:solidFill>
                      </w14:textFill>
                    </w:rPr>
                    <m:t>V</m:t>
                  </m:r>
                  <m:ctrlPr>
                    <w:rPr>
                      <w:rFonts w:ascii="Cambria Math" w:hAnsi="Cambria Math"/>
                      <w:b w:val="0"/>
                      <w:bCs w:val="0"/>
                      <w:i/>
                      <w:color w:val="000000" w:themeColor="text1"/>
                      <w:sz w:val="24"/>
                      <w:szCs w:val="24"/>
                      <w14:textFill>
                        <w14:solidFill>
                          <w14:schemeClr w14:val="tx1"/>
                        </w14:solidFill>
                      </w14:textFill>
                    </w:rPr>
                  </m:ctrlPr>
                </m:e>
                <m:sub>
                  <m:r>
                    <m:rPr>
                      <m:nor/>
                    </m:rPr>
                    <w:rPr>
                      <w:b w:val="0"/>
                      <w:bCs w:val="0"/>
                      <w:i/>
                      <w:color w:val="000000" w:themeColor="text1"/>
                      <w:sz w:val="24"/>
                      <w:szCs w:val="24"/>
                      <w14:textFill>
                        <w14:solidFill>
                          <w14:schemeClr w14:val="tx1"/>
                        </w14:solidFill>
                      </w14:textFill>
                    </w:rPr>
                    <m:t>g</m:t>
                  </m:r>
                  <m:ctrlPr>
                    <w:rPr>
                      <w:rFonts w:ascii="Cambria Math" w:hAnsi="Cambria Math"/>
                      <w:b w:val="0"/>
                      <w:bCs w:val="0"/>
                      <w:i/>
                      <w:color w:val="000000" w:themeColor="text1"/>
                      <w:sz w:val="24"/>
                      <w:szCs w:val="24"/>
                      <w14:textFill>
                        <w14:solidFill>
                          <w14:schemeClr w14:val="tx1"/>
                        </w14:solidFill>
                      </w14:textFill>
                    </w:rPr>
                  </m:ctrlPr>
                </m:sub>
              </m:sSub>
              <m:r>
                <m:rPr>
                  <m:nor/>
                  <m:sty m:val="p"/>
                </m:rPr>
                <w:rPr>
                  <w:b w:val="0"/>
                  <w:bCs w:val="0"/>
                  <w:i w:val="0"/>
                  <w:color w:val="000000" w:themeColor="text1"/>
                  <w:sz w:val="24"/>
                  <w:szCs w:val="24"/>
                  <w14:textFill>
                    <w14:solidFill>
                      <w14:schemeClr w14:val="tx1"/>
                    </w14:solidFill>
                  </w14:textFill>
                </w:rPr>
                <m:t>=</m:t>
              </m:r>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V</m:t>
                  </m:r>
                  <m:ctrlPr>
                    <w:rPr>
                      <w:rFonts w:ascii="Cambria Math" w:hAnsi="Cambria Math"/>
                      <w:b w:val="0"/>
                      <w:bCs w:val="0"/>
                      <w:color w:val="000000" w:themeColor="text1"/>
                      <w:sz w:val="24"/>
                      <w:szCs w:val="24"/>
                      <w14:textFill>
                        <w14:solidFill>
                          <w14:schemeClr w14:val="tx1"/>
                        </w14:solidFill>
                      </w14:textFill>
                    </w:rPr>
                  </m:ctrlPr>
                </m:e>
                <m:sub>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RO</m:t>
                      </m:r>
                      <m:ctrlPr>
                        <w:rPr>
                          <w:rFonts w:ascii="Cambria Math" w:hAnsi="Cambria Math"/>
                          <w:b w:val="0"/>
                          <w:bCs w:val="0"/>
                          <w:color w:val="000000" w:themeColor="text1"/>
                          <w:sz w:val="24"/>
                          <w:szCs w:val="24"/>
                          <w14:textFill>
                            <w14:solidFill>
                              <w14:schemeClr w14:val="tx1"/>
                            </w14:solidFill>
                          </w14:textFill>
                        </w:rPr>
                      </m:ctrlPr>
                    </m:e>
                    <m:sub>
                      <m:r>
                        <m:rPr>
                          <m:nor/>
                          <m:sty m:val="p"/>
                        </m:rPr>
                        <w:rPr>
                          <w:b w:val="0"/>
                          <w:bCs w:val="0"/>
                          <w:i w:val="0"/>
                          <w:color w:val="000000" w:themeColor="text1"/>
                          <w:sz w:val="24"/>
                          <w:szCs w:val="24"/>
                          <w14:textFill>
                            <w14:solidFill>
                              <w14:schemeClr w14:val="tx1"/>
                            </w14:solidFill>
                          </w14:textFill>
                        </w:rPr>
                        <m:t>2</m:t>
                      </m:r>
                      <m:ctrlPr>
                        <w:rPr>
                          <w:rFonts w:ascii="Cambria Math" w:hAnsi="Cambria Math"/>
                          <w:b w:val="0"/>
                          <w:bCs w:val="0"/>
                          <w:color w:val="000000" w:themeColor="text1"/>
                          <w:sz w:val="24"/>
                          <w:szCs w:val="24"/>
                          <w14:textFill>
                            <w14:solidFill>
                              <w14:schemeClr w14:val="tx1"/>
                            </w14:solidFill>
                          </w14:textFill>
                        </w:rPr>
                      </m:ctrlPr>
                    </m:sub>
                  </m:sSub>
                  <m:ctrlPr>
                    <w:rPr>
                      <w:rFonts w:ascii="Cambria Math" w:hAnsi="Cambria Math"/>
                      <w:b w:val="0"/>
                      <w:bCs w:val="0"/>
                      <w:color w:val="000000" w:themeColor="text1"/>
                      <w:sz w:val="24"/>
                      <w:szCs w:val="24"/>
                      <w14:textFill>
                        <w14:solidFill>
                          <w14:schemeClr w14:val="tx1"/>
                        </w14:solidFill>
                      </w14:textFill>
                    </w:rPr>
                  </m:ctrlPr>
                </m:sub>
              </m:sSub>
              <m:r>
                <m:rPr>
                  <m:nor/>
                  <m:sty m:val="p"/>
                </m:rPr>
                <w:rPr>
                  <w:b w:val="0"/>
                  <w:bCs w:val="0"/>
                  <w:i w:val="0"/>
                  <w:color w:val="000000" w:themeColor="text1"/>
                  <w:sz w:val="24"/>
                  <w:szCs w:val="24"/>
                  <w14:textFill>
                    <w14:solidFill>
                      <w14:schemeClr w14:val="tx1"/>
                    </w14:solidFill>
                  </w14:textFill>
                </w:rPr>
                <m:t>+</m:t>
              </m:r>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V</m:t>
                  </m:r>
                  <m:ctrlPr>
                    <w:rPr>
                      <w:rFonts w:ascii="Cambria Math" w:hAnsi="Cambria Math"/>
                      <w:b w:val="0"/>
                      <w:bCs w:val="0"/>
                      <w:color w:val="000000" w:themeColor="text1"/>
                      <w:sz w:val="24"/>
                      <w:szCs w:val="24"/>
                      <w14:textFill>
                        <w14:solidFill>
                          <w14:schemeClr w14:val="tx1"/>
                        </w14:solidFill>
                      </w14:textFill>
                    </w:rPr>
                  </m:ctrlPr>
                </m:e>
                <m:sub>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N</m:t>
                      </m:r>
                      <m:ctrlPr>
                        <w:rPr>
                          <w:rFonts w:ascii="Cambria Math" w:hAnsi="Cambria Math"/>
                          <w:b w:val="0"/>
                          <w:bCs w:val="0"/>
                          <w:color w:val="000000" w:themeColor="text1"/>
                          <w:sz w:val="24"/>
                          <w:szCs w:val="24"/>
                          <w14:textFill>
                            <w14:solidFill>
                              <w14:schemeClr w14:val="tx1"/>
                            </w14:solidFill>
                          </w14:textFill>
                        </w:rPr>
                      </m:ctrlPr>
                    </m:e>
                    <m:sub>
                      <m:r>
                        <m:rPr>
                          <m:nor/>
                          <m:sty m:val="p"/>
                        </m:rPr>
                        <w:rPr>
                          <w:b w:val="0"/>
                          <w:bCs w:val="0"/>
                          <w:i w:val="0"/>
                          <w:color w:val="000000" w:themeColor="text1"/>
                          <w:sz w:val="24"/>
                          <w:szCs w:val="24"/>
                          <w14:textFill>
                            <w14:solidFill>
                              <w14:schemeClr w14:val="tx1"/>
                            </w14:solidFill>
                          </w14:textFill>
                        </w:rPr>
                        <m:t>2</m:t>
                      </m:r>
                      <m:ctrlPr>
                        <w:rPr>
                          <w:rFonts w:ascii="Cambria Math" w:hAnsi="Cambria Math"/>
                          <w:b w:val="0"/>
                          <w:bCs w:val="0"/>
                          <w:color w:val="000000" w:themeColor="text1"/>
                          <w:sz w:val="24"/>
                          <w:szCs w:val="24"/>
                          <w14:textFill>
                            <w14:solidFill>
                              <w14:schemeClr w14:val="tx1"/>
                            </w14:solidFill>
                          </w14:textFill>
                        </w:rPr>
                      </m:ctrlPr>
                    </m:sub>
                  </m:sSub>
                  <m:ctrlPr>
                    <w:rPr>
                      <w:rFonts w:ascii="Cambria Math" w:hAnsi="Cambria Math"/>
                      <w:b w:val="0"/>
                      <w:bCs w:val="0"/>
                      <w:color w:val="000000" w:themeColor="text1"/>
                      <w:sz w:val="24"/>
                      <w:szCs w:val="24"/>
                      <w14:textFill>
                        <w14:solidFill>
                          <w14:schemeClr w14:val="tx1"/>
                        </w14:solidFill>
                      </w14:textFill>
                    </w:rPr>
                  </m:ctrlPr>
                </m:sub>
              </m:sSub>
              <m:r>
                <m:rPr>
                  <m:nor/>
                  <m:sty m:val="p"/>
                </m:rPr>
                <w:rPr>
                  <w:b w:val="0"/>
                  <w:bCs w:val="0"/>
                  <w:i w:val="0"/>
                  <w:color w:val="000000" w:themeColor="text1"/>
                  <w:sz w:val="24"/>
                  <w:szCs w:val="24"/>
                  <w14:textFill>
                    <w14:solidFill>
                      <w14:schemeClr w14:val="tx1"/>
                    </w14:solidFill>
                  </w14:textFill>
                </w:rPr>
                <m:t>+(α-1)</m:t>
              </m:r>
              <m:sSub>
                <m:sSubPr>
                  <m:ctrlPr>
                    <w:rPr>
                      <w:rFonts w:ascii="Cambria Math" w:hAnsi="Cambria Math"/>
                      <w:b w:val="0"/>
                      <w:bCs w:val="0"/>
                      <w:color w:val="000000" w:themeColor="text1"/>
                      <w:sz w:val="24"/>
                      <w:szCs w:val="24"/>
                      <w14:textFill>
                        <w14:solidFill>
                          <w14:schemeClr w14:val="tx1"/>
                        </w14:solidFill>
                      </w14:textFill>
                    </w:rPr>
                  </m:ctrlPr>
                </m:sSubPr>
                <m:e>
                  <m:r>
                    <m:rPr>
                      <m:nor/>
                      <m:sty m:val="p"/>
                    </m:rPr>
                    <w:rPr>
                      <w:b w:val="0"/>
                      <w:bCs w:val="0"/>
                      <w:i w:val="0"/>
                      <w:color w:val="000000" w:themeColor="text1"/>
                      <w:sz w:val="24"/>
                      <w:szCs w:val="24"/>
                      <w14:textFill>
                        <w14:solidFill>
                          <w14:schemeClr w14:val="tx1"/>
                        </w14:solidFill>
                      </w14:textFill>
                    </w:rPr>
                    <m:t>V</m:t>
                  </m:r>
                  <m:ctrlPr>
                    <w:rPr>
                      <w:rFonts w:ascii="Cambria Math" w:hAnsi="Cambria Math"/>
                      <w:b w:val="0"/>
                      <w:bCs w:val="0"/>
                      <w:color w:val="000000" w:themeColor="text1"/>
                      <w:sz w:val="24"/>
                      <w:szCs w:val="24"/>
                      <w14:textFill>
                        <w14:solidFill>
                          <w14:schemeClr w14:val="tx1"/>
                        </w14:solidFill>
                      </w14:textFill>
                    </w:rPr>
                  </m:ctrlPr>
                </m:e>
                <m:sub>
                  <m:r>
                    <m:rPr>
                      <m:nor/>
                      <m:sty m:val="p"/>
                    </m:rPr>
                    <w:rPr>
                      <w:b w:val="0"/>
                      <w:bCs w:val="0"/>
                      <w:i w:val="0"/>
                      <w:color w:val="000000" w:themeColor="text1"/>
                      <w:sz w:val="24"/>
                      <w:szCs w:val="24"/>
                      <w14:textFill>
                        <w14:solidFill>
                          <w14:schemeClr w14:val="tx1"/>
                        </w14:solidFill>
                      </w14:textFill>
                    </w:rPr>
                    <m:t>0</m:t>
                  </m:r>
                  <w:bookmarkEnd w:id="33"/>
                  <w:bookmarkEnd w:id="34"/>
                  <m:ctrlPr>
                    <w:rPr>
                      <w:rFonts w:ascii="Cambria Math" w:hAnsi="Cambria Math"/>
                      <w:b w:val="0"/>
                      <w:bCs w:val="0"/>
                      <w:color w:val="000000" w:themeColor="text1"/>
                      <w:sz w:val="24"/>
                      <w:szCs w:val="24"/>
                      <w14:textFill>
                        <w14:solidFill>
                          <w14:schemeClr w14:val="tx1"/>
                        </w14:solidFill>
                      </w14:textFill>
                    </w:rPr>
                  </m:ctrlPr>
                  <w:bookmarkEnd w:id="35"/>
                </m:sub>
              </m:sSub>
            </m:oMath>
            <w:r>
              <w:rPr>
                <w:rFonts w:ascii="Cambria Math" w:hAnsi="Cambria Math"/>
                <w:b w:val="0"/>
                <w:bCs w:val="0"/>
                <w:color w:val="000000" w:themeColor="text1"/>
                <w:sz w:val="24"/>
                <w:szCs w:val="24"/>
                <w14:textFill>
                  <w14:solidFill>
                    <w14:schemeClr w14:val="tx1"/>
                  </w14:solidFill>
                </w14:textFill>
              </w:rPr>
              <w:t xml:space="preserve"> </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w:t>
            </w:r>
            <w:r>
              <w:rPr>
                <w:color w:val="000000" w:themeColor="text1"/>
                <w:sz w:val="24"/>
                <w14:textFill>
                  <w14:solidFill>
                    <w14:schemeClr w14:val="tx1"/>
                  </w14:solidFill>
                </w14:textFill>
              </w:rPr>
              <w:t>中，V</w:t>
            </w:r>
            <w:r>
              <w:rPr>
                <w:color w:val="000000" w:themeColor="text1"/>
                <w:sz w:val="24"/>
                <w:vertAlign w:val="subscript"/>
                <w14:textFill>
                  <w14:solidFill>
                    <w14:schemeClr w14:val="tx1"/>
                  </w14:solidFill>
                </w14:textFill>
              </w:rPr>
              <w:t>RO2</w:t>
            </w:r>
            <w:r>
              <w:rPr>
                <w:color w:val="000000" w:themeColor="text1"/>
                <w:sz w:val="24"/>
                <w14:textFill>
                  <w14:solidFill>
                    <w14:schemeClr w14:val="tx1"/>
                  </w14:solidFill>
                </w14:textFill>
              </w:rPr>
              <w:t>——烟气中二氧化碳（V</w:t>
            </w:r>
            <w:r>
              <w:rPr>
                <w:color w:val="000000" w:themeColor="text1"/>
                <w:sz w:val="24"/>
                <w:vertAlign w:val="subscript"/>
                <w14:textFill>
                  <w14:solidFill>
                    <w14:schemeClr w14:val="tx1"/>
                  </w14:solidFill>
                </w14:textFill>
              </w:rPr>
              <w:t>CO2</w:t>
            </w:r>
            <w:r>
              <w:rPr>
                <w:color w:val="000000" w:themeColor="text1"/>
                <w:sz w:val="24"/>
                <w14:textFill>
                  <w14:solidFill>
                    <w14:schemeClr w14:val="tx1"/>
                  </w14:solidFill>
                </w14:textFill>
              </w:rPr>
              <w:t>）和二氧化硫（V</w:t>
            </w:r>
            <w:r>
              <w:rPr>
                <w:color w:val="000000" w:themeColor="text1"/>
                <w:sz w:val="24"/>
                <w:vertAlign w:val="subscript"/>
                <w14:textFill>
                  <w14:solidFill>
                    <w14:schemeClr w14:val="tx1"/>
                  </w14:solidFill>
                </w14:textFill>
              </w:rPr>
              <w:t>SO2</w:t>
            </w:r>
            <w:r>
              <w:rPr>
                <w:color w:val="000000" w:themeColor="text1"/>
                <w:sz w:val="24"/>
                <w14:textFill>
                  <w14:solidFill>
                    <w14:schemeClr w14:val="tx1"/>
                  </w14:solidFill>
                </w14:textFill>
              </w:rPr>
              <w:t>）容积之和，</w:t>
            </w:r>
            <w:r>
              <w:rPr>
                <w:rFonts w:hint="eastAsia"/>
                <w:color w:val="000000" w:themeColor="text1"/>
                <w:sz w:val="24"/>
                <w14:textFill>
                  <w14:solidFill>
                    <w14:schemeClr w14:val="tx1"/>
                  </w14:solidFill>
                </w14:textFill>
              </w:rPr>
              <w:t>经计算为0.72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Car——收到基碳的质量分数，</w:t>
            </w:r>
            <w:r>
              <w:rPr>
                <w:rFonts w:hint="eastAsia"/>
                <w:color w:val="000000" w:themeColor="text1"/>
                <w:sz w:val="24"/>
                <w14:textFill>
                  <w14:solidFill>
                    <w14:schemeClr w14:val="tx1"/>
                  </w14:solidFill>
                </w14:textFill>
              </w:rPr>
              <w:t>取38.82</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Sar——收到基硫的质量分数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取</w:t>
            </w:r>
            <w:r>
              <w:rPr>
                <w:rFonts w:hint="eastAsia"/>
                <w:color w:val="000000" w:themeColor="text1"/>
                <w:sz w:val="24"/>
                <w14:textFill>
                  <w14:solidFill>
                    <w14:schemeClr w14:val="tx1"/>
                  </w14:solidFill>
                </w14:textFill>
              </w:rPr>
              <w:t>0.07</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N2</w:t>
            </w:r>
            <w:r>
              <w:rPr>
                <w:color w:val="000000" w:themeColor="text1"/>
                <w:sz w:val="24"/>
                <w14:textFill>
                  <w14:solidFill>
                    <w14:schemeClr w14:val="tx1"/>
                  </w14:solidFill>
                </w14:textFill>
              </w:rPr>
              <w:t>——烟气中氮气量，m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r>
              <w:rPr>
                <w:rFonts w:hint="eastAsia"/>
                <w:color w:val="000000" w:themeColor="text1"/>
                <w:sz w:val="24"/>
                <w14:textFill>
                  <w14:solidFill>
                    <w14:schemeClr w14:val="tx1"/>
                  </w14:solidFill>
                </w14:textFill>
              </w:rPr>
              <w:t>，经计算为2</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Nar——收到基氮的质量分数，</w:t>
            </w:r>
            <w:r>
              <w:rPr>
                <w:rFonts w:hint="eastAsia"/>
                <w:color w:val="000000" w:themeColor="text1"/>
                <w:sz w:val="24"/>
                <w14:textFill>
                  <w14:solidFill>
                    <w14:schemeClr w14:val="tx1"/>
                  </w14:solidFill>
                </w14:textFill>
              </w:rPr>
              <w:t>取0.27</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——理论空气量，m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r>
              <w:rPr>
                <w:rFonts w:hint="eastAsia"/>
                <w:color w:val="000000" w:themeColor="text1"/>
                <w:sz w:val="24"/>
                <w14:textFill>
                  <w14:solidFill>
                    <w14:schemeClr w14:val="tx1"/>
                  </w14:solidFill>
                </w14:textFill>
              </w:rPr>
              <w:t>，经计算为3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51</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Vg——干烟气排放量，</w:t>
            </w:r>
            <w:r>
              <w:rPr>
                <w:rFonts w:hint="eastAsia"/>
                <w:color w:val="000000" w:themeColor="text1"/>
                <w:sz w:val="24"/>
                <w14:textFill>
                  <w14:solidFill>
                    <w14:schemeClr w14:val="tx1"/>
                  </w14:solidFill>
                </w14:textFill>
              </w:rPr>
              <w:t>经计算为5.96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α——过量空气系数，燃料燃烧时实际空气供给量与理论空气需要量之比值，燃煤锅炉、燃油锅炉及燃气锅炉的规定过量空气系数分别为1.75、1.2，对应基准氧含量分别为9%、3.5%；本次评价取</w:t>
            </w:r>
            <w:r>
              <w:rPr>
                <w:rFonts w:hint="eastAsia"/>
                <w:color w:val="000000" w:themeColor="text1"/>
                <w:sz w:val="24"/>
                <w14:textFill>
                  <w14:solidFill>
                    <w14:schemeClr w14:val="tx1"/>
                  </w14:solidFill>
                </w14:textFill>
              </w:rPr>
              <w:t>1.7。</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本项目锅炉燃料耗量为</w:t>
            </w:r>
            <w:r>
              <w:rPr>
                <w:rFonts w:hint="eastAsia" w:hAnsi="宋体" w:cs="Times New Roman"/>
                <w:b w:val="0"/>
                <w:bCs w:val="0"/>
                <w:color w:val="000000" w:themeColor="text1"/>
                <w:kern w:val="2"/>
                <w:sz w:val="24"/>
                <w:szCs w:val="24"/>
                <w:lang w:val="en-US" w:eastAsia="zh-CN" w:bidi="ar-SA"/>
                <w14:textFill>
                  <w14:solidFill>
                    <w14:schemeClr w14:val="tx1"/>
                  </w14:solidFill>
                </w14:textFill>
              </w:rPr>
              <w:t>4743.28</w:t>
            </w:r>
            <w:r>
              <w:rPr>
                <w:rFonts w:hint="eastAsia"/>
                <w:color w:val="000000" w:themeColor="text1"/>
                <w:sz w:val="24"/>
                <w14:textFill>
                  <w14:solidFill>
                    <w14:schemeClr w14:val="tx1"/>
                  </w14:solidFill>
                </w14:textFill>
              </w:rPr>
              <w:t>t/a，</w:t>
            </w:r>
            <w:r>
              <w:rPr>
                <w:color w:val="000000" w:themeColor="text1"/>
                <w:sz w:val="24"/>
                <w14:textFill>
                  <w14:solidFill>
                    <w14:schemeClr w14:val="tx1"/>
                  </w14:solidFill>
                </w14:textFill>
              </w:rPr>
              <w:t>经计算实际干烟气量</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 xml:space="preserve">28261771 </w:t>
            </w:r>
            <w:r>
              <w:rPr>
                <w:color w:val="000000" w:themeColor="text1"/>
                <w:sz w:val="24"/>
                <w14:textFill>
                  <w14:solidFill>
                    <w14:schemeClr w14:val="tx1"/>
                  </w14:solidFill>
                </w14:textFill>
              </w:rPr>
              <w:t>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spacing w:line="440" w:lineRule="exact"/>
              <w:ind w:firstLine="420" w:firstLineChars="200"/>
              <w:rPr>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1" locked="0" layoutInCell="1" allowOverlap="1">
                  <wp:simplePos x="0" y="0"/>
                  <wp:positionH relativeFrom="column">
                    <wp:posOffset>368300</wp:posOffset>
                  </wp:positionH>
                  <wp:positionV relativeFrom="paragraph">
                    <wp:posOffset>193040</wp:posOffset>
                  </wp:positionV>
                  <wp:extent cx="2130425" cy="823595"/>
                  <wp:effectExtent l="0" t="0" r="3175" b="14605"/>
                  <wp:wrapNone/>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19"/>
                          <a:srcRect t="-6538" b="-6538"/>
                          <a:stretch>
                            <a:fillRect/>
                          </a:stretch>
                        </pic:blipFill>
                        <pic:spPr>
                          <a:xfrm>
                            <a:off x="0" y="0"/>
                            <a:ext cx="2130425" cy="823595"/>
                          </a:xfrm>
                          <a:prstGeom prst="rect">
                            <a:avLst/>
                          </a:prstGeom>
                          <a:noFill/>
                          <a:ln>
                            <a:noFill/>
                          </a:ln>
                        </pic:spPr>
                      </pic:pic>
                    </a:graphicData>
                  </a:graphic>
                </wp:anchor>
              </w:drawing>
            </w:r>
            <w:r>
              <w:rPr>
                <w:color w:val="000000" w:themeColor="text1"/>
                <w:sz w:val="24"/>
                <w14:textFill>
                  <w14:solidFill>
                    <w14:schemeClr w14:val="tx1"/>
                  </w14:solidFill>
                </w14:textFill>
              </w:rPr>
              <w:t>b）</w:t>
            </w:r>
            <w:r>
              <w:rPr>
                <w:rFonts w:hint="eastAsia"/>
                <w:color w:val="000000" w:themeColor="text1"/>
                <w:sz w:val="24"/>
                <w14:textFill>
                  <w14:solidFill>
                    <w14:schemeClr w14:val="tx1"/>
                  </w14:solidFill>
                </w14:textFill>
              </w:rPr>
              <w:t>颗粒物</w:t>
            </w:r>
            <w:r>
              <w:rPr>
                <w:color w:val="000000" w:themeColor="text1"/>
                <w:sz w:val="24"/>
                <w14:textFill>
                  <w14:solidFill>
                    <w14:schemeClr w14:val="tx1"/>
                  </w14:solidFill>
                </w14:textFill>
              </w:rPr>
              <w:t xml:space="preserve">排放量按下式计算  </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p>
          <w:p>
            <w:pPr>
              <w:spacing w:line="440" w:lineRule="exact"/>
              <w:ind w:firstLine="480" w:firstLineChars="20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color w:val="000000" w:themeColor="text1"/>
                <w:sz w:val="24"/>
                <w14:textFill>
                  <w14:solidFill>
                    <w14:schemeClr w14:val="tx1"/>
                  </w14:solidFill>
                </w14:textFill>
              </w:rPr>
              <w:t xml:space="preserve"> </w:t>
            </w:r>
          </w:p>
          <w:bookmarkEnd w:id="29"/>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pPr>
              <w:spacing w:line="440" w:lineRule="exact"/>
              <w:ind w:firstLine="480" w:firstLineChars="200"/>
              <w:rPr>
                <w:color w:val="000000" w:themeColor="text1"/>
                <w:sz w:val="24"/>
                <w14:textFill>
                  <w14:solidFill>
                    <w14:schemeClr w14:val="tx1"/>
                  </w14:solidFill>
                </w14:textFill>
              </w:rPr>
            </w:pPr>
            <w:bookmarkStart w:id="36" w:name="_Hlk65495966"/>
            <w:r>
              <w:rPr>
                <w:color w:val="000000" w:themeColor="text1"/>
                <w:sz w:val="24"/>
                <w14:textFill>
                  <w14:solidFill>
                    <w14:schemeClr w14:val="tx1"/>
                  </w14:solidFill>
                </w14:textFill>
              </w:rPr>
              <w:t>E</w:t>
            </w:r>
            <w:r>
              <w:rPr>
                <w:color w:val="000000" w:themeColor="text1"/>
                <w:sz w:val="24"/>
                <w:vertAlign w:val="subscript"/>
                <w14:textFill>
                  <w14:solidFill>
                    <w14:schemeClr w14:val="tx1"/>
                  </w14:solidFill>
                </w14:textFill>
              </w:rPr>
              <w:t>A</w:t>
            </w:r>
            <w:r>
              <w:rPr>
                <w:color w:val="000000" w:themeColor="text1"/>
                <w:sz w:val="24"/>
                <w14:textFill>
                  <w14:solidFill>
                    <w14:schemeClr w14:val="tx1"/>
                  </w14:solidFill>
                </w14:textFill>
              </w:rPr>
              <w:t>——核算时段内烟尘（颗粒物）排放量，t；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R——核算时段内锅炉燃料耗量，</w:t>
            </w:r>
            <w:r>
              <w:rPr>
                <w:rFonts w:hint="eastAsia"/>
                <w:color w:val="000000" w:themeColor="text1"/>
                <w:sz w:val="24"/>
                <w14:textFill>
                  <w14:solidFill>
                    <w14:schemeClr w14:val="tx1"/>
                  </w14:solidFill>
                </w14:textFill>
              </w:rPr>
              <w:t>生物质燃料</w:t>
            </w:r>
            <w:r>
              <w:rPr>
                <w:color w:val="000000" w:themeColor="text1"/>
                <w:sz w:val="24"/>
                <w14:textFill>
                  <w14:solidFill>
                    <w14:schemeClr w14:val="tx1"/>
                  </w14:solidFill>
                </w14:textFill>
              </w:rPr>
              <w:t>量</w:t>
            </w:r>
            <w:r>
              <w:rPr>
                <w:rFonts w:hint="eastAsia"/>
                <w:color w:val="000000" w:themeColor="text1"/>
                <w:sz w:val="24"/>
                <w14:textFill>
                  <w14:solidFill>
                    <w14:schemeClr w14:val="tx1"/>
                  </w14:solidFill>
                </w14:textFill>
              </w:rPr>
              <w:t>为</w:t>
            </w:r>
            <w:r>
              <w:rPr>
                <w:rFonts w:hint="eastAsia" w:hAnsi="宋体" w:cs="Times New Roman"/>
                <w:b w:val="0"/>
                <w:bCs w:val="0"/>
                <w:color w:val="000000" w:themeColor="text1"/>
                <w:kern w:val="2"/>
                <w:sz w:val="24"/>
                <w:szCs w:val="24"/>
                <w:lang w:val="en-US" w:eastAsia="zh-CN" w:bidi="ar-SA"/>
                <w14:textFill>
                  <w14:solidFill>
                    <w14:schemeClr w14:val="tx1"/>
                  </w14:solidFill>
                </w14:textFill>
              </w:rPr>
              <w:t>4743.28</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Aar——收到基灰分的质量分数，取</w:t>
            </w:r>
            <w:r>
              <w:rPr>
                <w:rFonts w:hint="eastAsia"/>
                <w:color w:val="000000" w:themeColor="text1"/>
                <w:sz w:val="24"/>
                <w14:textFill>
                  <w14:solidFill>
                    <w14:schemeClr w14:val="tx1"/>
                  </w14:solidFill>
                </w14:textFill>
              </w:rPr>
              <w:t>16.33</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dfh——锅炉烟气带出的飞灰份额，取</w:t>
            </w:r>
            <w:r>
              <w:rPr>
                <w:rFonts w:hint="eastAsia"/>
                <w:color w:val="000000" w:themeColor="text1"/>
                <w:sz w:val="24"/>
                <w14:textFill>
                  <w14:solidFill>
                    <w14:schemeClr w14:val="tx1"/>
                  </w14:solidFill>
                </w14:textFill>
              </w:rPr>
              <w:t>45</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ηc——综合除尘效率，</w:t>
            </w:r>
            <w:r>
              <w:rPr>
                <w:rFonts w:hint="eastAsia"/>
                <w:bCs/>
                <w:color w:val="000000" w:themeColor="text1"/>
                <w:kern w:val="0"/>
                <w:sz w:val="24"/>
                <w:szCs w:val="21"/>
                <w14:textFill>
                  <w14:solidFill>
                    <w14:schemeClr w14:val="tx1"/>
                  </w14:solidFill>
                </w14:textFill>
              </w:rPr>
              <w:t>旋风+</w:t>
            </w:r>
            <w:r>
              <w:rPr>
                <w:color w:val="000000" w:themeColor="text1"/>
                <w:sz w:val="24"/>
                <w14:textFill>
                  <w14:solidFill>
                    <w14:schemeClr w14:val="tx1"/>
                  </w14:solidFill>
                </w14:textFill>
              </w:rPr>
              <w:t>布袋除尘器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取99</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Cfh——飞灰中的可燃物含量，</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p>
          <w:p>
            <w:pPr>
              <w:spacing w:line="440" w:lineRule="exact"/>
              <w:ind w:firstLine="480" w:firstLineChars="200"/>
              <w:rPr>
                <w:color w:val="000000" w:themeColor="text1"/>
                <w:sz w:val="24"/>
                <w14:textFill>
                  <w14:solidFill>
                    <w14:schemeClr w14:val="tx1"/>
                  </w14:solidFill>
                </w14:textFill>
              </w:rPr>
            </w:pP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c）二氧化硫排放量按下式计算</w:t>
            </w:r>
          </w:p>
          <w:p>
            <w:pPr>
              <w:spacing w:line="440" w:lineRule="exact"/>
              <w:ind w:firstLine="420" w:firstLineChars="200"/>
              <w:rPr>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1" locked="0" layoutInCell="1" allowOverlap="1">
                  <wp:simplePos x="0" y="0"/>
                  <wp:positionH relativeFrom="column">
                    <wp:posOffset>378460</wp:posOffset>
                  </wp:positionH>
                  <wp:positionV relativeFrom="paragraph">
                    <wp:posOffset>58420</wp:posOffset>
                  </wp:positionV>
                  <wp:extent cx="3218815" cy="483870"/>
                  <wp:effectExtent l="0" t="0" r="635" b="11430"/>
                  <wp:wrapNone/>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20"/>
                          <a:srcRect t="3656" b="14409"/>
                          <a:stretch>
                            <a:fillRect/>
                          </a:stretch>
                        </pic:blipFill>
                        <pic:spPr>
                          <a:xfrm>
                            <a:off x="0" y="0"/>
                            <a:ext cx="3218815" cy="483870"/>
                          </a:xfrm>
                          <a:prstGeom prst="rect">
                            <a:avLst/>
                          </a:prstGeom>
                          <a:noFill/>
                          <a:ln>
                            <a:noFill/>
                          </a:ln>
                        </pic:spPr>
                      </pic:pic>
                    </a:graphicData>
                  </a:graphic>
                </wp:anchor>
              </w:drawing>
            </w:r>
          </w:p>
          <w:p>
            <w:pPr>
              <w:spacing w:line="440" w:lineRule="exact"/>
              <w:ind w:firstLine="480" w:firstLineChars="200"/>
              <w:rPr>
                <w:color w:val="000000" w:themeColor="text1"/>
                <w:sz w:val="24"/>
                <w14:textFill>
                  <w14:solidFill>
                    <w14:schemeClr w14:val="tx1"/>
                  </w14:solidFill>
                </w14:textFill>
              </w:rPr>
            </w:pP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E</w:t>
            </w:r>
            <w:r>
              <w:rPr>
                <w:color w:val="000000" w:themeColor="text1"/>
                <w:sz w:val="24"/>
                <w:vertAlign w:val="subscript"/>
                <w14:textFill>
                  <w14:solidFill>
                    <w14:schemeClr w14:val="tx1"/>
                  </w14:solidFill>
                </w14:textFill>
              </w:rPr>
              <w:t>SO2</w:t>
            </w:r>
            <w:r>
              <w:rPr>
                <w:color w:val="000000" w:themeColor="text1"/>
                <w:sz w:val="24"/>
                <w14:textFill>
                  <w14:solidFill>
                    <w14:schemeClr w14:val="tx1"/>
                  </w14:solidFill>
                </w14:textFill>
              </w:rPr>
              <w:t>——核算时段内SO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排放量，t；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R——核算时段内锅炉燃料耗量，</w:t>
            </w:r>
            <w:r>
              <w:rPr>
                <w:rFonts w:hint="eastAsia"/>
                <w:color w:val="000000" w:themeColor="text1"/>
                <w:sz w:val="24"/>
                <w14:textFill>
                  <w14:solidFill>
                    <w14:schemeClr w14:val="tx1"/>
                  </w14:solidFill>
                </w14:textFill>
              </w:rPr>
              <w:t>生物质燃料</w:t>
            </w:r>
            <w:r>
              <w:rPr>
                <w:color w:val="000000" w:themeColor="text1"/>
                <w:sz w:val="24"/>
                <w14:textFill>
                  <w14:solidFill>
                    <w14:schemeClr w14:val="tx1"/>
                  </w14:solidFill>
                </w14:textFill>
              </w:rPr>
              <w:t>量</w:t>
            </w:r>
            <w:r>
              <w:rPr>
                <w:rFonts w:hint="eastAsia"/>
                <w:color w:val="000000" w:themeColor="text1"/>
                <w:sz w:val="24"/>
                <w14:textFill>
                  <w14:solidFill>
                    <w14:schemeClr w14:val="tx1"/>
                  </w14:solidFill>
                </w14:textFill>
              </w:rPr>
              <w:t>为</w:t>
            </w:r>
            <w:r>
              <w:rPr>
                <w:rFonts w:hint="eastAsia" w:hAnsi="宋体" w:cs="Times New Roman"/>
                <w:b w:val="0"/>
                <w:bCs w:val="0"/>
                <w:color w:val="000000" w:themeColor="text1"/>
                <w:kern w:val="2"/>
                <w:sz w:val="24"/>
                <w:szCs w:val="24"/>
                <w:lang w:val="en-US" w:eastAsia="zh-CN" w:bidi="ar-SA"/>
                <w14:textFill>
                  <w14:solidFill>
                    <w14:schemeClr w14:val="tx1"/>
                  </w14:solidFill>
                </w14:textFill>
              </w:rPr>
              <w:t>4743.28</w:t>
            </w:r>
            <w:r>
              <w:rPr>
                <w:rFonts w:hint="eastAsia"/>
                <w:color w:val="000000" w:themeColor="text1"/>
                <w:sz w:val="24"/>
                <w14:textFill>
                  <w14:solidFill>
                    <w14:schemeClr w14:val="tx1"/>
                  </w14:solidFill>
                </w14:textFill>
              </w:rPr>
              <w:t>t</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Sar——收到基硫分的质量分数，</w:t>
            </w:r>
            <w:r>
              <w:rPr>
                <w:rFonts w:hint="eastAsia"/>
                <w:color w:val="000000" w:themeColor="text1"/>
                <w:sz w:val="24"/>
                <w14:textFill>
                  <w14:solidFill>
                    <w14:schemeClr w14:val="tx1"/>
                  </w14:solidFill>
                </w14:textFill>
              </w:rPr>
              <w:t>0.0</w:t>
            </w:r>
            <w:r>
              <w:rPr>
                <w:color w:val="000000" w:themeColor="text1"/>
                <w:sz w:val="24"/>
                <w14:textFill>
                  <w14:solidFill>
                    <w14:schemeClr w14:val="tx1"/>
                  </w14:solidFill>
                </w14:textFill>
              </w:rPr>
              <w:t>7%；</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4</w:t>
            </w:r>
            <w:r>
              <w:rPr>
                <w:color w:val="000000" w:themeColor="text1"/>
                <w:sz w:val="24"/>
                <w14:textFill>
                  <w14:solidFill>
                    <w14:schemeClr w14:val="tx1"/>
                  </w14:solidFill>
                </w14:textFill>
              </w:rPr>
              <w:t>——锅炉机械不完全燃烧热损失，取</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ηs——脱硫效率，取</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K——燃料中的硫燃烧后氧化成二氧化硫的份额，取0.</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d）氮氧化物排放量</w:t>
            </w:r>
          </w:p>
          <w:p>
            <w:pPr>
              <w:spacing w:line="440" w:lineRule="exact"/>
              <w:ind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4384" behindDoc="1" locked="0" layoutInCell="1" allowOverlap="1">
                  <wp:simplePos x="0" y="0"/>
                  <wp:positionH relativeFrom="column">
                    <wp:posOffset>747395</wp:posOffset>
                  </wp:positionH>
                  <wp:positionV relativeFrom="paragraph">
                    <wp:posOffset>78105</wp:posOffset>
                  </wp:positionV>
                  <wp:extent cx="2666365" cy="609600"/>
                  <wp:effectExtent l="0" t="0" r="635"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rcRect b="-17073"/>
                          <a:stretch>
                            <a:fillRect/>
                          </a:stretch>
                        </pic:blipFill>
                        <pic:spPr>
                          <a:xfrm>
                            <a:off x="0" y="0"/>
                            <a:ext cx="2666365" cy="609600"/>
                          </a:xfrm>
                          <a:prstGeom prst="rect">
                            <a:avLst/>
                          </a:prstGeom>
                          <a:noFill/>
                          <a:ln>
                            <a:noFill/>
                          </a:ln>
                        </pic:spPr>
                      </pic:pic>
                    </a:graphicData>
                  </a:graphic>
                </wp:anchor>
              </w:drawing>
            </w:r>
          </w:p>
          <w:p>
            <w:pPr>
              <w:spacing w:line="440" w:lineRule="exact"/>
              <w:ind w:firstLine="480"/>
              <w:rPr>
                <w:color w:val="000000" w:themeColor="text1"/>
                <w:sz w:val="24"/>
                <w14:textFill>
                  <w14:solidFill>
                    <w14:schemeClr w14:val="tx1"/>
                  </w14:solidFill>
                </w14:textFill>
              </w:rPr>
            </w:pPr>
          </w:p>
          <w:p>
            <w:pPr>
              <w:spacing w:line="44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pPr>
              <w:spacing w:line="440" w:lineRule="exact"/>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E</w:t>
            </w:r>
            <w:r>
              <w:rPr>
                <w:color w:val="000000" w:themeColor="text1"/>
                <w:sz w:val="24"/>
                <w:vertAlign w:val="subscript"/>
                <w14:textFill>
                  <w14:solidFill>
                    <w14:schemeClr w14:val="tx1"/>
                  </w14:solidFill>
                </w14:textFill>
              </w:rPr>
              <w:t>NOx</w:t>
            </w:r>
            <w:r>
              <w:rPr>
                <w:color w:val="000000" w:themeColor="text1"/>
                <w:sz w:val="24"/>
                <w14:textFill>
                  <w14:solidFill>
                    <w14:schemeClr w14:val="tx1"/>
                  </w14:solidFill>
                </w14:textFill>
              </w:rPr>
              <w:t>——核算时段内氮氧化物排放量，t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w:t>
            </w:r>
          </w:p>
          <w:p>
            <w:pPr>
              <w:spacing w:line="440" w:lineRule="exact"/>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ρ</w:t>
            </w:r>
            <w:r>
              <w:rPr>
                <w:color w:val="000000" w:themeColor="text1"/>
                <w:sz w:val="24"/>
                <w:vertAlign w:val="subscript"/>
                <w14:textFill>
                  <w14:solidFill>
                    <w14:schemeClr w14:val="tx1"/>
                  </w14:solidFill>
                </w14:textFill>
              </w:rPr>
              <w:t>NOx</w:t>
            </w:r>
            <w:r>
              <w:rPr>
                <w:color w:val="000000" w:themeColor="text1"/>
                <w:sz w:val="24"/>
                <w14:textFill>
                  <w14:solidFill>
                    <w14:schemeClr w14:val="tx1"/>
                  </w14:solidFill>
                </w14:textFill>
              </w:rPr>
              <w:t>——锅炉炉膛出口氮氧化物质量浓度</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参考《排污许可证申请与核发技术规范 锅炉》（HJ953-2018）中 表F.4燃生物质工业锅炉的废气产排污系数、生物质层燃炉</w:t>
            </w:r>
            <w:r>
              <w:rPr>
                <w:rFonts w:hint="eastAsia"/>
                <w:color w:val="000000" w:themeColor="text1"/>
                <w:sz w:val="24"/>
                <w14:textFill>
                  <w14:solidFill>
                    <w14:schemeClr w14:val="tx1"/>
                  </w14:solidFill>
                </w14:textFill>
              </w:rPr>
              <w:t>（低氮燃烧技术）</w:t>
            </w:r>
            <w:r>
              <w:rPr>
                <w:rFonts w:hint="eastAsia"/>
                <w:color w:val="000000" w:themeColor="text1"/>
                <w:sz w:val="24"/>
                <w:lang w:val="en-US" w:eastAsia="zh-CN"/>
                <w14:textFill>
                  <w14:solidFill>
                    <w14:schemeClr w14:val="tx1"/>
                  </w14:solidFill>
                </w14:textFill>
              </w:rPr>
              <w:t>氮氧化物产污系数为0.71千克每吨燃料，则氮氧化物产生量取3.362 t/a，本项目烟气量为28261771</w:t>
            </w:r>
            <w:r>
              <w:rPr>
                <w:color w:val="000000" w:themeColor="text1"/>
                <w:sz w:val="24"/>
                <w14:textFill>
                  <w14:solidFill>
                    <w14:schemeClr w14:val="tx1"/>
                  </w14:solidFill>
                </w14:textFill>
              </w:rPr>
              <w:t>Nm</w:t>
            </w:r>
            <w:r>
              <w:rPr>
                <w:color w:val="000000" w:themeColor="text1"/>
                <w:sz w:val="24"/>
                <w:vertAlign w:val="superscript"/>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则产生浓度取118.96</w:t>
            </w:r>
            <w:r>
              <w:rPr>
                <w:color w:val="000000" w:themeColor="text1"/>
                <w:sz w:val="24"/>
                <w14:textFill>
                  <w14:solidFill>
                    <w14:schemeClr w14:val="tx1"/>
                  </w14:solidFill>
                </w14:textFill>
              </w:rPr>
              <w:t>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spacing w:line="440" w:lineRule="exact"/>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Q——干烟气排放量，为</w:t>
            </w:r>
            <w:r>
              <w:rPr>
                <w:rFonts w:hint="eastAsia"/>
                <w:color w:val="000000" w:themeColor="text1"/>
                <w:sz w:val="24"/>
                <w:lang w:val="en-US" w:eastAsia="zh-CN"/>
                <w14:textFill>
                  <w14:solidFill>
                    <w14:schemeClr w14:val="tx1"/>
                  </w14:solidFill>
                </w14:textFill>
              </w:rPr>
              <w:t>28261771</w:t>
            </w:r>
            <w:r>
              <w:rPr>
                <w:color w:val="000000" w:themeColor="text1"/>
                <w:sz w:val="24"/>
                <w14:textFill>
                  <w14:solidFill>
                    <w14:schemeClr w14:val="tx1"/>
                  </w14:solidFill>
                </w14:textFill>
              </w:rPr>
              <w:t>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spacing w:line="440" w:lineRule="exact"/>
              <w:ind w:firstLine="1200" w:firstLineChars="500"/>
              <w:rPr>
                <w:color w:val="000000" w:themeColor="text1"/>
                <w:sz w:val="24"/>
                <w14:textFill>
                  <w14:solidFill>
                    <w14:schemeClr w14:val="tx1"/>
                  </w14:solidFill>
                </w14:textFill>
              </w:rPr>
            </w:pPr>
            <w:r>
              <w:rPr>
                <w:color w:val="000000" w:themeColor="text1"/>
                <w:sz w:val="24"/>
                <w14:textFill>
                  <w14:solidFill>
                    <w14:schemeClr w14:val="tx1"/>
                  </w14:solidFill>
                </w14:textFill>
              </w:rPr>
              <w:t>η</w:t>
            </w:r>
            <w:r>
              <w:rPr>
                <w:color w:val="000000" w:themeColor="text1"/>
                <w:sz w:val="24"/>
                <w:vertAlign w:val="subscript"/>
                <w14:textFill>
                  <w14:solidFill>
                    <w14:schemeClr w14:val="tx1"/>
                  </w14:solidFill>
                </w14:textFill>
              </w:rPr>
              <w:t>NOx</w:t>
            </w:r>
            <w:r>
              <w:rPr>
                <w:color w:val="000000" w:themeColor="text1"/>
                <w:sz w:val="24"/>
                <w14:textFill>
                  <w14:solidFill>
                    <w14:schemeClr w14:val="tx1"/>
                  </w14:solidFill>
                </w14:textFill>
              </w:rPr>
              <w:t>——脱硝效率，取</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w:t>
            </w:r>
          </w:p>
          <w:bookmarkEnd w:id="36"/>
          <w:p>
            <w:pPr>
              <w:spacing w:line="440" w:lineRule="exact"/>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4</w:t>
            </w:r>
            <w:r>
              <w:rPr>
                <w:b/>
                <w:bCs/>
                <w:color w:val="000000" w:themeColor="text1"/>
                <w:sz w:val="21"/>
                <w:szCs w:val="21"/>
                <w14:textFill>
                  <w14:solidFill>
                    <w14:schemeClr w14:val="tx1"/>
                  </w14:solidFill>
                </w14:textFill>
              </w:rPr>
              <w:t>-</w:t>
            </w:r>
            <w:r>
              <w:rPr>
                <w:rFonts w:hint="eastAsia"/>
                <w:b/>
                <w:bCs/>
                <w:color w:val="000000" w:themeColor="text1"/>
                <w:sz w:val="21"/>
                <w:szCs w:val="21"/>
                <w14:textFill>
                  <w14:solidFill>
                    <w14:schemeClr w14:val="tx1"/>
                  </w14:solidFill>
                </w14:textFill>
              </w:rPr>
              <w:t>1</w:t>
            </w:r>
            <w:r>
              <w:rPr>
                <w:b/>
                <w:bCs/>
                <w:color w:val="000000" w:themeColor="text1"/>
                <w:sz w:val="21"/>
                <w:szCs w:val="21"/>
                <w14:textFill>
                  <w14:solidFill>
                    <w14:schemeClr w14:val="tx1"/>
                  </w14:solidFill>
                </w14:textFill>
              </w:rPr>
              <w:t xml:space="preserve">  生物质锅炉燃烧废气排放情况  （单位：mg/m</w:t>
            </w:r>
            <w:r>
              <w:rPr>
                <w:b/>
                <w:bCs/>
                <w:color w:val="000000" w:themeColor="text1"/>
                <w:sz w:val="21"/>
                <w:szCs w:val="21"/>
                <w:vertAlign w:val="superscript"/>
                <w14:textFill>
                  <w14:solidFill>
                    <w14:schemeClr w14:val="tx1"/>
                  </w14:solidFill>
                </w14:textFill>
              </w:rPr>
              <w:t>3</w:t>
            </w:r>
            <w:r>
              <w:rPr>
                <w:b/>
                <w:bCs/>
                <w:color w:val="000000" w:themeColor="text1"/>
                <w:sz w:val="21"/>
                <w:szCs w:val="21"/>
                <w14:textFill>
                  <w14:solidFill>
                    <w14:schemeClr w14:val="tx1"/>
                  </w14:solidFill>
                </w14:textFill>
              </w:rPr>
              <w:t>）</w:t>
            </w:r>
          </w:p>
          <w:tbl>
            <w:tblPr>
              <w:tblStyle w:val="36"/>
              <w:tblW w:w="876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25"/>
              <w:gridCol w:w="2344"/>
              <w:gridCol w:w="2330"/>
              <w:gridCol w:w="23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25" w:type="dxa"/>
                  <w:vAlign w:val="center"/>
                </w:tcPr>
                <w:p>
                  <w:pPr>
                    <w:pStyle w:val="125"/>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污染物</w:t>
                  </w:r>
                </w:p>
              </w:tc>
              <w:tc>
                <w:tcPr>
                  <w:tcW w:w="2344" w:type="dxa"/>
                  <w:vAlign w:val="center"/>
                </w:tcPr>
                <w:p>
                  <w:pPr>
                    <w:pStyle w:val="125"/>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排放量</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kg/h</w:t>
                  </w:r>
                  <w:r>
                    <w:rPr>
                      <w:rFonts w:hint="eastAsia" w:ascii="Times New Roman" w:hAnsi="Times New Roman"/>
                      <w:color w:val="000000" w:themeColor="text1"/>
                      <w14:textFill>
                        <w14:solidFill>
                          <w14:schemeClr w14:val="tx1"/>
                        </w14:solidFill>
                      </w14:textFill>
                    </w:rPr>
                    <w:t>）</w:t>
                  </w:r>
                </w:p>
              </w:tc>
              <w:tc>
                <w:tcPr>
                  <w:tcW w:w="2330" w:type="dxa"/>
                  <w:vAlign w:val="center"/>
                </w:tcPr>
                <w:p>
                  <w:pPr>
                    <w:pStyle w:val="125"/>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排放量</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t/a</w:t>
                  </w:r>
                  <w:r>
                    <w:rPr>
                      <w:rFonts w:hint="eastAsia" w:ascii="Times New Roman" w:hAnsi="Times New Roman"/>
                      <w:color w:val="000000" w:themeColor="text1"/>
                      <w14:textFill>
                        <w14:solidFill>
                          <w14:schemeClr w14:val="tx1"/>
                        </w14:solidFill>
                      </w14:textFill>
                    </w:rPr>
                    <w:t>）</w:t>
                  </w:r>
                </w:p>
              </w:tc>
              <w:tc>
                <w:tcPr>
                  <w:tcW w:w="2364" w:type="dxa"/>
                  <w:vAlign w:val="center"/>
                </w:tcPr>
                <w:p>
                  <w:pPr>
                    <w:pStyle w:val="125"/>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排放浓度</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mg/m</w:t>
                  </w:r>
                  <w:r>
                    <w:rPr>
                      <w:rFonts w:ascii="Times New Roman" w:hAnsi="Times New Roman"/>
                      <w:color w:val="000000" w:themeColor="text1"/>
                      <w:vertAlign w:val="superscript"/>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trPr>
              <w:tc>
                <w:tcPr>
                  <w:tcW w:w="1725" w:type="dxa"/>
                  <w:vAlign w:val="center"/>
                </w:tcPr>
                <w:p>
                  <w:pPr>
                    <w:pStyle w:val="125"/>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烟气量</w:t>
                  </w:r>
                </w:p>
              </w:tc>
              <w:tc>
                <w:tcPr>
                  <w:tcW w:w="7038" w:type="dxa"/>
                  <w:gridSpan w:val="3"/>
                  <w:vAlign w:val="center"/>
                </w:tcPr>
                <w:p>
                  <w:pPr>
                    <w:widowControl/>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28261771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725" w:type="dxa"/>
                  <w:vAlign w:val="center"/>
                </w:tcPr>
                <w:p>
                  <w:pPr>
                    <w:pStyle w:val="125"/>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颗粒物</w:t>
                  </w:r>
                </w:p>
              </w:tc>
              <w:tc>
                <w:tcPr>
                  <w:tcW w:w="2344" w:type="dxa"/>
                  <w:vAlign w:val="center"/>
                </w:tcPr>
                <w:p>
                  <w:pPr>
                    <w:keepNext w:val="0"/>
                    <w:keepLines w:val="0"/>
                    <w:widowControl/>
                    <w:suppressLineNumbers w:val="0"/>
                    <w:jc w:val="center"/>
                    <w:textAlignment w:val="center"/>
                    <w:rPr>
                      <w:rFonts w:hint="default"/>
                      <w:color w:val="000000" w:themeColor="text1"/>
                      <w:sz w:val="21"/>
                      <w:szCs w:val="21"/>
                      <w:lang w:val="en-US"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0.291</w:t>
                  </w:r>
                </w:p>
              </w:tc>
              <w:tc>
                <w:tcPr>
                  <w:tcW w:w="2330" w:type="dxa"/>
                  <w:vAlign w:val="center"/>
                </w:tcPr>
                <w:p>
                  <w:pPr>
                    <w:keepNext w:val="0"/>
                    <w:keepLines w:val="0"/>
                    <w:widowControl/>
                    <w:suppressLineNumbers w:val="0"/>
                    <w:jc w:val="center"/>
                    <w:textAlignment w:val="center"/>
                    <w:rPr>
                      <w:rFonts w:hint="default"/>
                      <w:color w:val="000000" w:themeColor="text1"/>
                      <w:sz w:val="21"/>
                      <w:szCs w:val="21"/>
                      <w:lang w:val="en-US"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1.162</w:t>
                  </w:r>
                </w:p>
              </w:tc>
              <w:tc>
                <w:tcPr>
                  <w:tcW w:w="2364" w:type="dxa"/>
                  <w:vAlign w:val="center"/>
                </w:tcPr>
                <w:p>
                  <w:pPr>
                    <w:keepNext w:val="0"/>
                    <w:keepLines w:val="0"/>
                    <w:widowControl/>
                    <w:suppressLineNumbers w:val="0"/>
                    <w:jc w:val="center"/>
                    <w:textAlignment w:val="center"/>
                    <w:rPr>
                      <w:color w:val="000000" w:themeColor="text1"/>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41.111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25" w:type="dxa"/>
                  <w:vAlign w:val="center"/>
                </w:tcPr>
                <w:p>
                  <w:pPr>
                    <w:pStyle w:val="125"/>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SO</w:t>
                  </w:r>
                  <w:r>
                    <w:rPr>
                      <w:rFonts w:ascii="Times New Roman" w:hAnsi="Times New Roman"/>
                      <w:color w:val="000000" w:themeColor="text1"/>
                      <w:vertAlign w:val="subscript"/>
                      <w14:textFill>
                        <w14:solidFill>
                          <w14:schemeClr w14:val="tx1"/>
                        </w14:solidFill>
                      </w14:textFill>
                    </w:rPr>
                    <w:t>2</w:t>
                  </w:r>
                </w:p>
              </w:tc>
              <w:tc>
                <w:tcPr>
                  <w:tcW w:w="2344" w:type="dxa"/>
                  <w:vAlign w:val="center"/>
                </w:tcPr>
                <w:p>
                  <w:pPr>
                    <w:keepNext w:val="0"/>
                    <w:keepLines w:val="0"/>
                    <w:widowControl/>
                    <w:suppressLineNumbers w:val="0"/>
                    <w:jc w:val="center"/>
                    <w:textAlignment w:val="center"/>
                    <w:rPr>
                      <w:rFonts w:hint="default"/>
                      <w:color w:val="000000" w:themeColor="text1"/>
                      <w:sz w:val="21"/>
                      <w:szCs w:val="21"/>
                      <w:lang w:val="en-US"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0.599</w:t>
                  </w:r>
                </w:p>
              </w:tc>
              <w:tc>
                <w:tcPr>
                  <w:tcW w:w="2330" w:type="dxa"/>
                  <w:vAlign w:val="center"/>
                </w:tcPr>
                <w:p>
                  <w:pPr>
                    <w:keepNext w:val="0"/>
                    <w:keepLines w:val="0"/>
                    <w:widowControl/>
                    <w:suppressLineNumbers w:val="0"/>
                    <w:jc w:val="center"/>
                    <w:textAlignment w:val="center"/>
                    <w:rPr>
                      <w:rFonts w:hint="default"/>
                      <w:color w:val="000000" w:themeColor="text1"/>
                      <w:sz w:val="21"/>
                      <w:szCs w:val="21"/>
                      <w:lang w:val="en-US"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2.391</w:t>
                  </w:r>
                </w:p>
              </w:tc>
              <w:tc>
                <w:tcPr>
                  <w:tcW w:w="2364" w:type="dxa"/>
                  <w:vAlign w:val="center"/>
                </w:tcPr>
                <w:p>
                  <w:pPr>
                    <w:keepNext w:val="0"/>
                    <w:keepLines w:val="0"/>
                    <w:widowControl/>
                    <w:suppressLineNumbers w:val="0"/>
                    <w:jc w:val="center"/>
                    <w:textAlignment w:val="center"/>
                    <w:rPr>
                      <w:color w:val="000000" w:themeColor="text1"/>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84.588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25" w:type="dxa"/>
                  <w:vAlign w:val="center"/>
                </w:tcPr>
                <w:p>
                  <w:pPr>
                    <w:pStyle w:val="125"/>
                    <w:spacing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NOx</w:t>
                  </w:r>
                </w:p>
              </w:tc>
              <w:tc>
                <w:tcPr>
                  <w:tcW w:w="2344" w:type="dxa"/>
                  <w:vAlign w:val="center"/>
                </w:tcPr>
                <w:p>
                  <w:pPr>
                    <w:keepNext w:val="0"/>
                    <w:keepLines w:val="0"/>
                    <w:widowControl/>
                    <w:suppressLineNumbers w:val="0"/>
                    <w:jc w:val="center"/>
                    <w:textAlignment w:val="center"/>
                    <w:rPr>
                      <w:rFonts w:hint="default"/>
                      <w:color w:val="000000" w:themeColor="text1"/>
                      <w:sz w:val="21"/>
                      <w:szCs w:val="21"/>
                      <w:lang w:val="en-US"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0.843</w:t>
                  </w:r>
                </w:p>
              </w:tc>
              <w:tc>
                <w:tcPr>
                  <w:tcW w:w="2330" w:type="dxa"/>
                  <w:vAlign w:val="center"/>
                </w:tcPr>
                <w:p>
                  <w:pPr>
                    <w:keepNext w:val="0"/>
                    <w:keepLines w:val="0"/>
                    <w:widowControl/>
                    <w:suppressLineNumbers w:val="0"/>
                    <w:jc w:val="center"/>
                    <w:textAlignment w:val="center"/>
                    <w:rPr>
                      <w:rFonts w:hint="default"/>
                      <w:color w:val="000000" w:themeColor="text1"/>
                      <w:sz w:val="21"/>
                      <w:szCs w:val="21"/>
                      <w:lang w:val="en-US"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3.362</w:t>
                  </w:r>
                </w:p>
              </w:tc>
              <w:tc>
                <w:tcPr>
                  <w:tcW w:w="2364" w:type="dxa"/>
                  <w:vAlign w:val="center"/>
                </w:tcPr>
                <w:p>
                  <w:pPr>
                    <w:keepNext w:val="0"/>
                    <w:keepLines w:val="0"/>
                    <w:widowControl/>
                    <w:suppressLineNumbers w:val="0"/>
                    <w:jc w:val="center"/>
                    <w:textAlignment w:val="center"/>
                    <w:rPr>
                      <w:rFonts w:hint="default"/>
                      <w:color w:val="000000" w:themeColor="text1"/>
                      <w:sz w:val="21"/>
                      <w:szCs w:val="21"/>
                      <w:lang w:val="en-US"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118.96</w:t>
                  </w:r>
                </w:p>
              </w:tc>
            </w:tr>
          </w:tbl>
          <w:p>
            <w:pPr>
              <w:pStyle w:val="124"/>
              <w:adjustRightInd w:val="0"/>
              <w:spacing w:line="336" w:lineRule="auto"/>
              <w:ind w:firstLine="480"/>
              <w:rPr>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w:t>
            </w:r>
            <w:r>
              <w:rPr>
                <w:bCs/>
                <w:color w:val="000000" w:themeColor="text1"/>
                <w:sz w:val="24"/>
                <w:highlight w:val="none"/>
                <w14:textFill>
                  <w14:solidFill>
                    <w14:schemeClr w14:val="tx1"/>
                  </w14:solidFill>
                </w14:textFill>
              </w:rPr>
              <w:t>生物质锅炉</w:t>
            </w:r>
            <w:r>
              <w:rPr>
                <w:rFonts w:hint="eastAsia"/>
                <w:bCs/>
                <w:color w:val="000000" w:themeColor="text1"/>
                <w:sz w:val="24"/>
                <w:highlight w:val="none"/>
                <w14:textFill>
                  <w14:solidFill>
                    <w14:schemeClr w14:val="tx1"/>
                  </w14:solidFill>
                </w14:textFill>
              </w:rPr>
              <w:t>采用低氮燃烧技术，烟气经</w:t>
            </w:r>
            <w:r>
              <w:rPr>
                <w:rFonts w:hint="eastAsia"/>
                <w:bCs/>
                <w:color w:val="000000" w:themeColor="text1"/>
                <w:kern w:val="0"/>
                <w:sz w:val="24"/>
                <w:szCs w:val="21"/>
                <w:highlight w:val="none"/>
                <w14:textFill>
                  <w14:solidFill>
                    <w14:schemeClr w14:val="tx1"/>
                  </w14:solidFill>
                </w14:textFill>
              </w:rPr>
              <w:t>旋风+</w:t>
            </w:r>
            <w:r>
              <w:rPr>
                <w:rFonts w:hint="eastAsia"/>
                <w:bCs/>
                <w:color w:val="000000" w:themeColor="text1"/>
                <w:sz w:val="24"/>
                <w:highlight w:val="none"/>
                <w14:textFill>
                  <w14:solidFill>
                    <w14:schemeClr w14:val="tx1"/>
                  </w14:solidFill>
                </w14:textFill>
              </w:rPr>
              <w:t>布袋除尘器处理后由</w:t>
            </w:r>
            <w:r>
              <w:rPr>
                <w:rFonts w:hint="eastAsia"/>
                <w:bCs/>
                <w:color w:val="000000" w:themeColor="text1"/>
                <w:sz w:val="24"/>
                <w:highlight w:val="none"/>
                <w:lang w:val="en-US" w:eastAsia="zh-CN"/>
                <w14:textFill>
                  <w14:solidFill>
                    <w14:schemeClr w14:val="tx1"/>
                  </w14:solidFill>
                </w14:textFill>
              </w:rPr>
              <w:t>40</w:t>
            </w:r>
            <w:r>
              <w:rPr>
                <w:rFonts w:hint="eastAsia"/>
                <w:bCs/>
                <w:color w:val="000000" w:themeColor="text1"/>
                <w:sz w:val="24"/>
                <w:highlight w:val="none"/>
                <w14:textFill>
                  <w14:solidFill>
                    <w14:schemeClr w14:val="tx1"/>
                  </w14:solidFill>
                </w14:textFill>
              </w:rPr>
              <w:t>m高烟囱（DA001）排放，</w:t>
            </w:r>
            <w:r>
              <w:rPr>
                <w:rFonts w:hint="eastAsia"/>
                <w:color w:val="000000" w:themeColor="text1"/>
                <w:sz w:val="24"/>
                <w:highlight w:val="none"/>
                <w14:textFill>
                  <w14:solidFill>
                    <w14:schemeClr w14:val="tx1"/>
                  </w14:solidFill>
                </w14:textFill>
              </w:rPr>
              <w:t>锅炉颗粒物</w:t>
            </w:r>
            <w:r>
              <w:rPr>
                <w:color w:val="000000" w:themeColor="text1"/>
                <w:sz w:val="24"/>
                <w:highlight w:val="none"/>
                <w14:textFill>
                  <w14:solidFill>
                    <w14:schemeClr w14:val="tx1"/>
                  </w14:solidFill>
                </w14:textFill>
              </w:rPr>
              <w:t>产生量为</w:t>
            </w:r>
            <w:r>
              <w:rPr>
                <w:rFonts w:hint="eastAsia"/>
                <w:color w:val="000000" w:themeColor="text1"/>
                <w:sz w:val="24"/>
                <w:highlight w:val="none"/>
                <w:lang w:val="en-US" w:eastAsia="zh-CN"/>
                <w14:textFill>
                  <w14:solidFill>
                    <w14:schemeClr w14:val="tx1"/>
                  </w14:solidFill>
                </w14:textFill>
              </w:rPr>
              <w:t>97.065</w:t>
            </w:r>
            <w:r>
              <w:rPr>
                <w:color w:val="000000" w:themeColor="text1"/>
                <w:sz w:val="24"/>
                <w:highlight w:val="none"/>
                <w14:textFill>
                  <w14:solidFill>
                    <w14:schemeClr w14:val="tx1"/>
                  </w14:solidFill>
                </w14:textFill>
              </w:rPr>
              <w:t>kg/h（</w:t>
            </w:r>
            <w:r>
              <w:rPr>
                <w:rFonts w:hint="eastAsia"/>
                <w:color w:val="000000" w:themeColor="text1"/>
                <w:sz w:val="24"/>
                <w:highlight w:val="none"/>
                <w:lang w:val="en-US" w:eastAsia="zh-CN"/>
                <w14:textFill>
                  <w14:solidFill>
                    <w14:schemeClr w14:val="tx1"/>
                  </w14:solidFill>
                </w14:textFill>
              </w:rPr>
              <w:t>387.289</w:t>
            </w:r>
            <w:r>
              <w:rPr>
                <w:color w:val="000000" w:themeColor="text1"/>
                <w:sz w:val="24"/>
                <w:highlight w:val="none"/>
                <w14:textFill>
                  <w14:solidFill>
                    <w14:schemeClr w14:val="tx1"/>
                  </w14:solidFill>
                </w14:textFill>
              </w:rPr>
              <w:t>t/a），产生浓度为</w:t>
            </w:r>
            <w:r>
              <w:rPr>
                <w:rFonts w:hint="eastAsia"/>
                <w:color w:val="000000" w:themeColor="text1"/>
                <w:sz w:val="24"/>
                <w:highlight w:val="none"/>
                <w14:textFill>
                  <w14:solidFill>
                    <w14:schemeClr w14:val="tx1"/>
                  </w14:solidFill>
                </w14:textFill>
              </w:rPr>
              <w:t>13703.629</w:t>
            </w:r>
            <w:r>
              <w:rPr>
                <w:color w:val="000000" w:themeColor="text1"/>
                <w:sz w:val="24"/>
                <w:highlight w:val="none"/>
                <w14:textFill>
                  <w14:solidFill>
                    <w14:schemeClr w14:val="tx1"/>
                  </w14:solidFill>
                </w14:textFill>
              </w:rPr>
              <w:t>mg/m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产生量为</w:t>
            </w:r>
            <w:r>
              <w:rPr>
                <w:rFonts w:hint="eastAsia"/>
                <w:color w:val="000000" w:themeColor="text1"/>
                <w:sz w:val="24"/>
                <w:highlight w:val="none"/>
                <w:lang w:val="en-US" w:eastAsia="zh-CN"/>
                <w14:textFill>
                  <w14:solidFill>
                    <w14:schemeClr w14:val="tx1"/>
                  </w14:solidFill>
                </w14:textFill>
              </w:rPr>
              <w:t>0.599</w:t>
            </w:r>
            <w:r>
              <w:rPr>
                <w:color w:val="000000" w:themeColor="text1"/>
                <w:sz w:val="24"/>
                <w:highlight w:val="none"/>
                <w14:textFill>
                  <w14:solidFill>
                    <w14:schemeClr w14:val="tx1"/>
                  </w14:solidFill>
                </w14:textFill>
              </w:rPr>
              <w:t>kg/h（</w:t>
            </w:r>
            <w:r>
              <w:rPr>
                <w:rFonts w:hint="eastAsia"/>
                <w:color w:val="000000" w:themeColor="text1"/>
                <w:sz w:val="24"/>
                <w:highlight w:val="none"/>
                <w:lang w:val="en-US" w:eastAsia="zh-CN"/>
                <w14:textFill>
                  <w14:solidFill>
                    <w14:schemeClr w14:val="tx1"/>
                  </w14:solidFill>
                </w14:textFill>
              </w:rPr>
              <w:t>2.391</w:t>
            </w:r>
            <w:r>
              <w:rPr>
                <w:color w:val="000000" w:themeColor="text1"/>
                <w:sz w:val="24"/>
                <w:highlight w:val="none"/>
                <w14:textFill>
                  <w14:solidFill>
                    <w14:schemeClr w14:val="tx1"/>
                  </w14:solidFill>
                </w14:textFill>
              </w:rPr>
              <w:t>t/a），产生浓度为</w:t>
            </w:r>
            <w:r>
              <w:rPr>
                <w:rFonts w:hint="eastAsia"/>
                <w:color w:val="000000" w:themeColor="text1"/>
                <w:sz w:val="24"/>
                <w:highlight w:val="none"/>
                <w14:textFill>
                  <w14:solidFill>
                    <w14:schemeClr w14:val="tx1"/>
                  </w14:solidFill>
                </w14:textFill>
              </w:rPr>
              <w:t>84.588</w:t>
            </w:r>
            <w:r>
              <w:rPr>
                <w:color w:val="000000" w:themeColor="text1"/>
                <w:sz w:val="24"/>
                <w:highlight w:val="none"/>
                <w14:textFill>
                  <w14:solidFill>
                    <w14:schemeClr w14:val="tx1"/>
                  </w14:solidFill>
                </w14:textFill>
              </w:rPr>
              <w:t>mg/m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；NOx产生量为</w:t>
            </w:r>
            <w:r>
              <w:rPr>
                <w:rFonts w:hint="eastAsia"/>
                <w:color w:val="000000" w:themeColor="text1"/>
                <w:sz w:val="24"/>
                <w:highlight w:val="none"/>
                <w:lang w:val="en-US" w:eastAsia="zh-CN"/>
                <w14:textFill>
                  <w14:solidFill>
                    <w14:schemeClr w14:val="tx1"/>
                  </w14:solidFill>
                </w14:textFill>
              </w:rPr>
              <w:t>0.843</w:t>
            </w:r>
            <w:r>
              <w:rPr>
                <w:color w:val="000000" w:themeColor="text1"/>
                <w:sz w:val="24"/>
                <w:highlight w:val="none"/>
                <w14:textFill>
                  <w14:solidFill>
                    <w14:schemeClr w14:val="tx1"/>
                  </w14:solidFill>
                </w14:textFill>
              </w:rPr>
              <w:t>kg/h（</w:t>
            </w:r>
            <w:r>
              <w:rPr>
                <w:rFonts w:hint="eastAsia"/>
                <w:color w:val="000000" w:themeColor="text1"/>
                <w:sz w:val="24"/>
                <w:highlight w:val="none"/>
                <w:lang w:val="en-US" w:eastAsia="zh-CN"/>
                <w14:textFill>
                  <w14:solidFill>
                    <w14:schemeClr w14:val="tx1"/>
                  </w14:solidFill>
                </w14:textFill>
              </w:rPr>
              <w:t>3.362</w:t>
            </w:r>
            <w:r>
              <w:rPr>
                <w:color w:val="000000" w:themeColor="text1"/>
                <w:sz w:val="24"/>
                <w:highlight w:val="none"/>
                <w14:textFill>
                  <w14:solidFill>
                    <w14:schemeClr w14:val="tx1"/>
                  </w14:solidFill>
                </w14:textFill>
              </w:rPr>
              <w:t>t/a），产生浓度为</w:t>
            </w: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18.96</w:t>
            </w:r>
            <w:r>
              <w:rPr>
                <w:color w:val="000000" w:themeColor="text1"/>
                <w:sz w:val="24"/>
                <w:highlight w:val="none"/>
                <w14:textFill>
                  <w14:solidFill>
                    <w14:schemeClr w14:val="tx1"/>
                  </w14:solidFill>
                </w14:textFill>
              </w:rPr>
              <w:t>mg/m</w:t>
            </w:r>
            <w:r>
              <w:rPr>
                <w:color w:val="000000" w:themeColor="text1"/>
                <w:sz w:val="24"/>
                <w:highlight w:val="none"/>
                <w:vertAlign w:val="superscript"/>
                <w14:textFill>
                  <w14:solidFill>
                    <w14:schemeClr w14:val="tx1"/>
                  </w14:solidFill>
                </w14:textFill>
              </w:rPr>
              <w:t>3</w:t>
            </w:r>
            <w:r>
              <w:rPr>
                <w:rFonts w:hint="eastAsia"/>
                <w:bCs/>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锅炉颗粒物排放</w:t>
            </w:r>
            <w:r>
              <w:rPr>
                <w:color w:val="000000" w:themeColor="text1"/>
                <w:sz w:val="24"/>
                <w:highlight w:val="none"/>
                <w14:textFill>
                  <w14:solidFill>
                    <w14:schemeClr w14:val="tx1"/>
                  </w14:solidFill>
                </w14:textFill>
              </w:rPr>
              <w:t>量为</w:t>
            </w:r>
            <w:r>
              <w:rPr>
                <w:rFonts w:hint="eastAsia"/>
                <w:color w:val="000000" w:themeColor="text1"/>
                <w:sz w:val="24"/>
                <w:highlight w:val="none"/>
                <w:lang w:val="en-US" w:eastAsia="zh-CN"/>
                <w14:textFill>
                  <w14:solidFill>
                    <w14:schemeClr w14:val="tx1"/>
                  </w14:solidFill>
                </w14:textFill>
              </w:rPr>
              <w:t>0.291</w:t>
            </w:r>
            <w:r>
              <w:rPr>
                <w:color w:val="000000" w:themeColor="text1"/>
                <w:sz w:val="24"/>
                <w:highlight w:val="none"/>
                <w14:textFill>
                  <w14:solidFill>
                    <w14:schemeClr w14:val="tx1"/>
                  </w14:solidFill>
                </w14:textFill>
              </w:rPr>
              <w:t>kg/h（</w:t>
            </w:r>
            <w:r>
              <w:rPr>
                <w:rFonts w:hint="eastAsia"/>
                <w:color w:val="000000" w:themeColor="text1"/>
                <w:sz w:val="24"/>
                <w:highlight w:val="none"/>
                <w:lang w:val="en-US" w:eastAsia="zh-CN"/>
                <w14:textFill>
                  <w14:solidFill>
                    <w14:schemeClr w14:val="tx1"/>
                  </w14:solidFill>
                </w14:textFill>
              </w:rPr>
              <w:t>1.162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排放</w:t>
            </w:r>
            <w:r>
              <w:rPr>
                <w:color w:val="000000" w:themeColor="text1"/>
                <w:sz w:val="24"/>
                <w:highlight w:val="none"/>
                <w14:textFill>
                  <w14:solidFill>
                    <w14:schemeClr w14:val="tx1"/>
                  </w14:solidFill>
                </w14:textFill>
              </w:rPr>
              <w:t>浓度为</w:t>
            </w:r>
            <w:r>
              <w:rPr>
                <w:rFonts w:hint="eastAsia"/>
                <w:color w:val="000000" w:themeColor="text1"/>
                <w:sz w:val="24"/>
                <w:highlight w:val="none"/>
                <w14:textFill>
                  <w14:solidFill>
                    <w14:schemeClr w14:val="tx1"/>
                  </w14:solidFill>
                </w14:textFill>
              </w:rPr>
              <w:t>41.111</w:t>
            </w:r>
            <w:r>
              <w:rPr>
                <w:color w:val="000000" w:themeColor="text1"/>
                <w:sz w:val="24"/>
                <w:highlight w:val="none"/>
                <w14:textFill>
                  <w14:solidFill>
                    <w14:schemeClr w14:val="tx1"/>
                  </w14:solidFill>
                </w14:textFill>
              </w:rPr>
              <w:t>mg/m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；SO</w:t>
            </w:r>
            <w:r>
              <w:rPr>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排放</w:t>
            </w:r>
            <w:r>
              <w:rPr>
                <w:color w:val="000000" w:themeColor="text1"/>
                <w:sz w:val="24"/>
                <w:highlight w:val="none"/>
                <w14:textFill>
                  <w14:solidFill>
                    <w14:schemeClr w14:val="tx1"/>
                  </w14:solidFill>
                </w14:textFill>
              </w:rPr>
              <w:t>量为</w:t>
            </w:r>
            <w:r>
              <w:rPr>
                <w:rFonts w:hint="eastAsia"/>
                <w:color w:val="000000" w:themeColor="text1"/>
                <w:sz w:val="24"/>
                <w:highlight w:val="none"/>
                <w:lang w:val="en-US" w:eastAsia="zh-CN"/>
                <w14:textFill>
                  <w14:solidFill>
                    <w14:schemeClr w14:val="tx1"/>
                  </w14:solidFill>
                </w14:textFill>
              </w:rPr>
              <w:t>0.599</w:t>
            </w:r>
            <w:r>
              <w:rPr>
                <w:color w:val="000000" w:themeColor="text1"/>
                <w:sz w:val="24"/>
                <w:highlight w:val="none"/>
                <w14:textFill>
                  <w14:solidFill>
                    <w14:schemeClr w14:val="tx1"/>
                  </w14:solidFill>
                </w14:textFill>
              </w:rPr>
              <w:t>kg/h（</w:t>
            </w:r>
            <w:r>
              <w:rPr>
                <w:rFonts w:hint="eastAsia"/>
                <w:color w:val="000000" w:themeColor="text1"/>
                <w:sz w:val="24"/>
                <w:highlight w:val="none"/>
                <w:lang w:val="en-US" w:eastAsia="zh-CN"/>
                <w14:textFill>
                  <w14:solidFill>
                    <w14:schemeClr w14:val="tx1"/>
                  </w14:solidFill>
                </w14:textFill>
              </w:rPr>
              <w:t>2.391</w:t>
            </w:r>
            <w:r>
              <w:rPr>
                <w:color w:val="000000" w:themeColor="text1"/>
                <w:sz w:val="24"/>
                <w:highlight w:val="none"/>
                <w14:textFill>
                  <w14:solidFill>
                    <w14:schemeClr w14:val="tx1"/>
                  </w14:solidFill>
                </w14:textFill>
              </w:rPr>
              <w:t>/a），</w:t>
            </w:r>
            <w:r>
              <w:rPr>
                <w:rFonts w:hint="eastAsia"/>
                <w:color w:val="000000" w:themeColor="text1"/>
                <w:sz w:val="24"/>
                <w:highlight w:val="none"/>
                <w14:textFill>
                  <w14:solidFill>
                    <w14:schemeClr w14:val="tx1"/>
                  </w14:solidFill>
                </w14:textFill>
              </w:rPr>
              <w:t>排放</w:t>
            </w:r>
            <w:r>
              <w:rPr>
                <w:color w:val="000000" w:themeColor="text1"/>
                <w:sz w:val="24"/>
                <w:highlight w:val="none"/>
                <w14:textFill>
                  <w14:solidFill>
                    <w14:schemeClr w14:val="tx1"/>
                  </w14:solidFill>
                </w14:textFill>
              </w:rPr>
              <w:t>浓度为</w:t>
            </w:r>
            <w:r>
              <w:rPr>
                <w:rFonts w:hint="eastAsia"/>
                <w:color w:val="000000" w:themeColor="text1"/>
                <w:sz w:val="24"/>
                <w:highlight w:val="none"/>
                <w14:textFill>
                  <w14:solidFill>
                    <w14:schemeClr w14:val="tx1"/>
                  </w14:solidFill>
                </w14:textFill>
              </w:rPr>
              <w:t>84.588</w:t>
            </w:r>
            <w:r>
              <w:rPr>
                <w:color w:val="000000" w:themeColor="text1"/>
                <w:sz w:val="24"/>
                <w:highlight w:val="none"/>
                <w14:textFill>
                  <w14:solidFill>
                    <w14:schemeClr w14:val="tx1"/>
                  </w14:solidFill>
                </w14:textFill>
              </w:rPr>
              <w:t>mg/m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；NOx</w:t>
            </w:r>
            <w:r>
              <w:rPr>
                <w:rFonts w:hint="eastAsia"/>
                <w:color w:val="000000" w:themeColor="text1"/>
                <w:sz w:val="24"/>
                <w:highlight w:val="none"/>
                <w14:textFill>
                  <w14:solidFill>
                    <w14:schemeClr w14:val="tx1"/>
                  </w14:solidFill>
                </w14:textFill>
              </w:rPr>
              <w:t>排放</w:t>
            </w:r>
            <w:r>
              <w:rPr>
                <w:color w:val="000000" w:themeColor="text1"/>
                <w:sz w:val="24"/>
                <w:highlight w:val="none"/>
                <w14:textFill>
                  <w14:solidFill>
                    <w14:schemeClr w14:val="tx1"/>
                  </w14:solidFill>
                </w14:textFill>
              </w:rPr>
              <w:t>量为</w:t>
            </w:r>
            <w:r>
              <w:rPr>
                <w:rFonts w:hint="eastAsia"/>
                <w:color w:val="000000" w:themeColor="text1"/>
                <w:sz w:val="24"/>
                <w:highlight w:val="none"/>
                <w:lang w:val="en-US" w:eastAsia="zh-CN"/>
                <w14:textFill>
                  <w14:solidFill>
                    <w14:schemeClr w14:val="tx1"/>
                  </w14:solidFill>
                </w14:textFill>
              </w:rPr>
              <w:t>0.843</w:t>
            </w:r>
            <w:r>
              <w:rPr>
                <w:color w:val="000000" w:themeColor="text1"/>
                <w:sz w:val="24"/>
                <w:highlight w:val="none"/>
                <w14:textFill>
                  <w14:solidFill>
                    <w14:schemeClr w14:val="tx1"/>
                  </w14:solidFill>
                </w14:textFill>
              </w:rPr>
              <w:t>kg/h（</w:t>
            </w:r>
            <w:r>
              <w:rPr>
                <w:rFonts w:hint="eastAsia"/>
                <w:color w:val="000000" w:themeColor="text1"/>
                <w:sz w:val="24"/>
                <w:highlight w:val="none"/>
                <w:lang w:val="en-US" w:eastAsia="zh-CN"/>
                <w14:textFill>
                  <w14:solidFill>
                    <w14:schemeClr w14:val="tx1"/>
                  </w14:solidFill>
                </w14:textFill>
              </w:rPr>
              <w:t>3.362</w:t>
            </w:r>
            <w:r>
              <w:rPr>
                <w:color w:val="000000" w:themeColor="text1"/>
                <w:sz w:val="24"/>
                <w:highlight w:val="none"/>
                <w14:textFill>
                  <w14:solidFill>
                    <w14:schemeClr w14:val="tx1"/>
                  </w14:solidFill>
                </w14:textFill>
              </w:rPr>
              <w:t>t/a），</w:t>
            </w:r>
            <w:r>
              <w:rPr>
                <w:rFonts w:hint="eastAsia"/>
                <w:color w:val="000000" w:themeColor="text1"/>
                <w:sz w:val="24"/>
                <w:highlight w:val="none"/>
                <w14:textFill>
                  <w14:solidFill>
                    <w14:schemeClr w14:val="tx1"/>
                  </w14:solidFill>
                </w14:textFill>
              </w:rPr>
              <w:t>排放</w:t>
            </w:r>
            <w:r>
              <w:rPr>
                <w:color w:val="000000" w:themeColor="text1"/>
                <w:sz w:val="24"/>
                <w:highlight w:val="none"/>
                <w14:textFill>
                  <w14:solidFill>
                    <w14:schemeClr w14:val="tx1"/>
                  </w14:solidFill>
                </w14:textFill>
              </w:rPr>
              <w:t>浓度为</w:t>
            </w:r>
            <w:r>
              <w:rPr>
                <w:rFonts w:hint="eastAsia"/>
                <w:color w:val="000000" w:themeColor="text1"/>
                <w:sz w:val="24"/>
                <w:highlight w:val="none"/>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18.96</w:t>
            </w:r>
            <w:r>
              <w:rPr>
                <w:color w:val="000000" w:themeColor="text1"/>
                <w:sz w:val="24"/>
                <w:highlight w:val="none"/>
                <w14:textFill>
                  <w14:solidFill>
                    <w14:schemeClr w14:val="tx1"/>
                  </w14:solidFill>
                </w14:textFill>
              </w:rPr>
              <w:t>mg/m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生物质锅炉排放的污染物浓度和林格曼黑度符合</w:t>
            </w:r>
            <w:r>
              <w:rPr>
                <w:color w:val="000000" w:themeColor="text1"/>
                <w:sz w:val="24"/>
                <w:highlight w:val="none"/>
                <w14:textFill>
                  <w14:solidFill>
                    <w14:schemeClr w14:val="tx1"/>
                  </w14:solidFill>
                </w14:textFill>
              </w:rPr>
              <w:t>《锅炉大气污染物排放标准》（GB13271-20</w:t>
            </w:r>
            <w:r>
              <w:rPr>
                <w:rFonts w:hint="eastAsia"/>
                <w:color w:val="000000" w:themeColor="text1"/>
                <w:sz w:val="24"/>
                <w:highlight w:val="none"/>
                <w14:textFill>
                  <w14:solidFill>
                    <w14:schemeClr w14:val="tx1"/>
                  </w14:solidFill>
                </w14:textFill>
              </w:rPr>
              <w:t>14</w:t>
            </w:r>
            <w:r>
              <w:rPr>
                <w:color w:val="000000" w:themeColor="text1"/>
                <w:sz w:val="24"/>
                <w:highlight w:val="none"/>
                <w14:textFill>
                  <w14:solidFill>
                    <w14:schemeClr w14:val="tx1"/>
                  </w14:solidFill>
                </w14:textFill>
              </w:rPr>
              <w:t>）中</w:t>
            </w:r>
            <w:r>
              <w:rPr>
                <w:rFonts w:hint="eastAsia"/>
                <w:color w:val="000000" w:themeColor="text1"/>
                <w:sz w:val="24"/>
                <w:highlight w:val="none"/>
                <w14:textFill>
                  <w14:solidFill>
                    <w14:schemeClr w14:val="tx1"/>
                  </w14:solidFill>
                </w14:textFill>
              </w:rPr>
              <w:t>表</w:t>
            </w:r>
            <w:r>
              <w:rPr>
                <w:color w:val="000000" w:themeColor="text1"/>
                <w:sz w:val="24"/>
                <w:highlight w:val="none"/>
                <w14:textFill>
                  <w14:solidFill>
                    <w14:schemeClr w14:val="tx1"/>
                  </w14:solidFill>
                </w14:textFill>
              </w:rPr>
              <w:t>2</w:t>
            </w:r>
            <w:r>
              <w:rPr>
                <w:rFonts w:hint="eastAsia"/>
                <w:color w:val="000000" w:themeColor="text1"/>
                <w:sz w:val="24"/>
                <w:highlight w:val="none"/>
                <w14:textFill>
                  <w14:solidFill>
                    <w14:schemeClr w14:val="tx1"/>
                  </w14:solidFill>
                </w14:textFill>
              </w:rPr>
              <w:t>燃煤锅炉</w:t>
            </w:r>
            <w:r>
              <w:rPr>
                <w:color w:val="000000" w:themeColor="text1"/>
                <w:sz w:val="24"/>
                <w:highlight w:val="none"/>
                <w14:textFill>
                  <w14:solidFill>
                    <w14:schemeClr w14:val="tx1"/>
                  </w14:solidFill>
                </w14:textFill>
              </w:rPr>
              <w:t>标准（颗粒物浓度≤5</w:t>
            </w:r>
            <w:r>
              <w:rPr>
                <w:rFonts w:hint="eastAsia"/>
                <w:color w:val="000000" w:themeColor="text1"/>
                <w:sz w:val="24"/>
                <w:highlight w:val="none"/>
                <w14:textFill>
                  <w14:solidFill>
                    <w14:schemeClr w14:val="tx1"/>
                  </w14:solidFill>
                </w14:textFill>
              </w:rPr>
              <w:t>0</w:t>
            </w:r>
            <w:r>
              <w:rPr>
                <w:color w:val="000000" w:themeColor="text1"/>
                <w:sz w:val="24"/>
                <w:highlight w:val="none"/>
                <w14:textFill>
                  <w14:solidFill>
                    <w14:schemeClr w14:val="tx1"/>
                  </w14:solidFill>
                </w14:textFill>
              </w:rPr>
              <w:t>mg/m</w:t>
            </w:r>
            <w:r>
              <w:rPr>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浓度≤3</w:t>
            </w:r>
            <w:r>
              <w:rPr>
                <w:rFonts w:hint="eastAsia"/>
                <w:color w:val="000000" w:themeColor="text1"/>
                <w:sz w:val="24"/>
                <w:highlight w:val="none"/>
                <w14:textFill>
                  <w14:solidFill>
                    <w14:schemeClr w14:val="tx1"/>
                  </w14:solidFill>
                </w14:textFill>
              </w:rPr>
              <w:t>0</w:t>
            </w:r>
            <w:r>
              <w:rPr>
                <w:color w:val="000000" w:themeColor="text1"/>
                <w:sz w:val="24"/>
                <w:highlight w:val="none"/>
                <w14:textFill>
                  <w14:solidFill>
                    <w14:schemeClr w14:val="tx1"/>
                  </w14:solidFill>
                </w14:textFill>
              </w:rPr>
              <w:t>0mg/m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NOx</w:t>
            </w:r>
            <w:r>
              <w:rPr>
                <w:color w:val="000000" w:themeColor="text1"/>
                <w:sz w:val="24"/>
                <w:highlight w:val="none"/>
                <w14:textFill>
                  <w14:solidFill>
                    <w14:schemeClr w14:val="tx1"/>
                  </w14:solidFill>
                </w14:textFill>
              </w:rPr>
              <w:t>浓度≤300mg/m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林格曼黑度</w:t>
            </w:r>
            <w:r>
              <w:rPr>
                <w:rFonts w:hint="eastAsia" w:ascii="宋体" w:hAnsi="宋体"/>
                <w:bCs/>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1</w:t>
            </w:r>
            <w:r>
              <w:rPr>
                <w:color w:val="000000" w:themeColor="text1"/>
                <w:sz w:val="24"/>
                <w:highlight w:val="none"/>
                <w14:textFill>
                  <w14:solidFill>
                    <w14:schemeClr w14:val="tx1"/>
                  </w14:solidFill>
                </w14:textFill>
              </w:rPr>
              <w:t>）限值要求</w:t>
            </w:r>
            <w:r>
              <w:rPr>
                <w:rFonts w:hint="eastAsia"/>
                <w:color w:val="000000" w:themeColor="text1"/>
                <w:sz w:val="24"/>
                <w:highlight w:val="none"/>
                <w14:textFill>
                  <w14:solidFill>
                    <w14:schemeClr w14:val="tx1"/>
                  </w14:solidFill>
                </w14:textFill>
              </w:rPr>
              <w:t>。</w:t>
            </w:r>
          </w:p>
          <w:p>
            <w:pPr>
              <w:adjustRightInd w:val="0"/>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4-</w:t>
            </w:r>
            <w:r>
              <w:rPr>
                <w:b/>
                <w:color w:val="000000" w:themeColor="text1"/>
                <w:sz w:val="21"/>
                <w:szCs w:val="21"/>
                <w14:textFill>
                  <w14:solidFill>
                    <w14:schemeClr w14:val="tx1"/>
                  </w14:solidFill>
                </w14:textFill>
              </w:rPr>
              <w:t>2</w:t>
            </w:r>
            <w:r>
              <w:rPr>
                <w:rFonts w:hint="eastAsia"/>
                <w:b/>
                <w:color w:val="000000" w:themeColor="text1"/>
                <w:sz w:val="21"/>
                <w:szCs w:val="21"/>
                <w14:textFill>
                  <w14:solidFill>
                    <w14:schemeClr w14:val="tx1"/>
                  </w14:solidFill>
                </w14:textFill>
              </w:rPr>
              <w:t xml:space="preserve"> </w:t>
            </w:r>
            <w:r>
              <w:rPr>
                <w:b/>
                <w:color w:val="000000" w:themeColor="text1"/>
                <w:sz w:val="21"/>
                <w:szCs w:val="21"/>
                <w14:textFill>
                  <w14:solidFill>
                    <w14:schemeClr w14:val="tx1"/>
                  </w14:solidFill>
                </w14:textFill>
              </w:rPr>
              <w:t xml:space="preserve"> 废气污染源源强核算结果及相关参数一览表</w:t>
            </w:r>
          </w:p>
          <w:tbl>
            <w:tblPr>
              <w:tblStyle w:val="36"/>
              <w:tblW w:w="877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6"/>
              <w:gridCol w:w="357"/>
              <w:gridCol w:w="623"/>
              <w:gridCol w:w="357"/>
              <w:gridCol w:w="357"/>
              <w:gridCol w:w="752"/>
              <w:gridCol w:w="859"/>
              <w:gridCol w:w="578"/>
              <w:gridCol w:w="654"/>
              <w:gridCol w:w="609"/>
              <w:gridCol w:w="357"/>
              <w:gridCol w:w="752"/>
              <w:gridCol w:w="859"/>
              <w:gridCol w:w="739"/>
              <w:gridCol w:w="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356"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生产线</w:t>
                  </w:r>
                </w:p>
              </w:tc>
              <w:tc>
                <w:tcPr>
                  <w:tcW w:w="35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装置</w:t>
                  </w:r>
                </w:p>
              </w:tc>
              <w:tc>
                <w:tcPr>
                  <w:tcW w:w="623"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35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2546" w:type="dxa"/>
                  <w:gridSpan w:val="4"/>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污染物产生</w:t>
                  </w:r>
                </w:p>
              </w:tc>
              <w:tc>
                <w:tcPr>
                  <w:tcW w:w="1263"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治理措施</w:t>
                  </w:r>
                </w:p>
              </w:tc>
              <w:tc>
                <w:tcPr>
                  <w:tcW w:w="2707" w:type="dxa"/>
                  <w:gridSpan w:val="4"/>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污染物排放</w:t>
                  </w:r>
                </w:p>
              </w:tc>
              <w:tc>
                <w:tcPr>
                  <w:tcW w:w="562"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排放时间</w:t>
                  </w:r>
                  <w:r>
                    <w:rPr>
                      <w:rFonts w:hint="eastAsia"/>
                      <w:color w:val="000000" w:themeColor="text1"/>
                      <w:szCs w:val="21"/>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356" w:type="dxa"/>
                  <w:vMerge w:val="continue"/>
                  <w:vAlign w:val="center"/>
                </w:tcPr>
                <w:p>
                  <w:pPr>
                    <w:jc w:val="center"/>
                    <w:rPr>
                      <w:color w:val="000000" w:themeColor="text1"/>
                      <w:szCs w:val="21"/>
                      <w14:textFill>
                        <w14:solidFill>
                          <w14:schemeClr w14:val="tx1"/>
                        </w14:solidFill>
                      </w14:textFill>
                    </w:rPr>
                  </w:pPr>
                </w:p>
              </w:tc>
              <w:tc>
                <w:tcPr>
                  <w:tcW w:w="357" w:type="dxa"/>
                  <w:vMerge w:val="continue"/>
                  <w:vAlign w:val="center"/>
                </w:tcPr>
                <w:p>
                  <w:pPr>
                    <w:jc w:val="center"/>
                    <w:rPr>
                      <w:color w:val="000000" w:themeColor="text1"/>
                      <w:szCs w:val="21"/>
                      <w14:textFill>
                        <w14:solidFill>
                          <w14:schemeClr w14:val="tx1"/>
                        </w14:solidFill>
                      </w14:textFill>
                    </w:rPr>
                  </w:pPr>
                </w:p>
              </w:tc>
              <w:tc>
                <w:tcPr>
                  <w:tcW w:w="623" w:type="dxa"/>
                  <w:vMerge w:val="continue"/>
                  <w:vAlign w:val="center"/>
                </w:tcPr>
                <w:p>
                  <w:pPr>
                    <w:jc w:val="center"/>
                    <w:rPr>
                      <w:color w:val="000000" w:themeColor="text1"/>
                      <w:szCs w:val="21"/>
                      <w14:textFill>
                        <w14:solidFill>
                          <w14:schemeClr w14:val="tx1"/>
                        </w14:solidFill>
                      </w14:textFill>
                    </w:rPr>
                  </w:pPr>
                </w:p>
              </w:tc>
              <w:tc>
                <w:tcPr>
                  <w:tcW w:w="357" w:type="dxa"/>
                  <w:vMerge w:val="continue"/>
                  <w:vAlign w:val="center"/>
                </w:tcPr>
                <w:p>
                  <w:pPr>
                    <w:jc w:val="center"/>
                    <w:rPr>
                      <w:color w:val="000000" w:themeColor="text1"/>
                      <w:szCs w:val="21"/>
                      <w14:textFill>
                        <w14:solidFill>
                          <w14:schemeClr w14:val="tx1"/>
                        </w14:solidFill>
                      </w14:textFill>
                    </w:rPr>
                  </w:pPr>
                </w:p>
              </w:tc>
              <w:tc>
                <w:tcPr>
                  <w:tcW w:w="35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核算方法</w:t>
                  </w:r>
                </w:p>
              </w:tc>
              <w:tc>
                <w:tcPr>
                  <w:tcW w:w="75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废气产生量/（m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c>
                <w:tcPr>
                  <w:tcW w:w="8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产生质量浓度/（mg/m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5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kg/h</w:t>
                  </w:r>
                  <w:r>
                    <w:rPr>
                      <w:rFonts w:hint="eastAsia"/>
                      <w:color w:val="000000" w:themeColor="text1"/>
                      <w:szCs w:val="21"/>
                      <w14:textFill>
                        <w14:solidFill>
                          <w14:schemeClr w14:val="tx1"/>
                        </w14:solidFill>
                      </w14:textFill>
                    </w:rPr>
                    <w:t>)</w:t>
                  </w:r>
                </w:p>
              </w:tc>
              <w:tc>
                <w:tcPr>
                  <w:tcW w:w="65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工艺</w:t>
                  </w:r>
                </w:p>
              </w:tc>
              <w:tc>
                <w:tcPr>
                  <w:tcW w:w="6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效率（%）</w:t>
                  </w:r>
                </w:p>
              </w:tc>
              <w:tc>
                <w:tcPr>
                  <w:tcW w:w="35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核算方法</w:t>
                  </w:r>
                </w:p>
              </w:tc>
              <w:tc>
                <w:tcPr>
                  <w:tcW w:w="75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废气排放量/（m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/h）</w:t>
                  </w:r>
                </w:p>
              </w:tc>
              <w:tc>
                <w:tcPr>
                  <w:tcW w:w="8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排放质量浓度/（mg/m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73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排放量（kg/h）</w:t>
                  </w:r>
                </w:p>
              </w:tc>
              <w:tc>
                <w:tcPr>
                  <w:tcW w:w="56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56"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供热</w:t>
                  </w:r>
                </w:p>
              </w:tc>
              <w:tc>
                <w:tcPr>
                  <w:tcW w:w="35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燃生物质锅炉</w:t>
                  </w:r>
                </w:p>
              </w:tc>
              <w:tc>
                <w:tcPr>
                  <w:tcW w:w="623" w:type="dxa"/>
                  <w:vMerge w:val="restart"/>
                  <w:vAlign w:val="center"/>
                </w:tcPr>
                <w:p>
                  <w:pPr>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DA001</w:t>
                  </w:r>
                  <w:r>
                    <w:rPr>
                      <w:rFonts w:hint="eastAsia"/>
                      <w:color w:val="000000" w:themeColor="text1"/>
                      <w:szCs w:val="21"/>
                      <w14:textFill>
                        <w14:solidFill>
                          <w14:schemeClr w14:val="tx1"/>
                        </w14:solidFill>
                      </w14:textFill>
                    </w:rPr>
                    <w:t>烟囱</w:t>
                  </w:r>
                </w:p>
              </w:tc>
              <w:tc>
                <w:tcPr>
                  <w:tcW w:w="35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二氧化硫</w:t>
                  </w:r>
                </w:p>
              </w:tc>
              <w:tc>
                <w:tcPr>
                  <w:tcW w:w="35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物料衡算法</w:t>
                  </w:r>
                </w:p>
              </w:tc>
              <w:tc>
                <w:tcPr>
                  <w:tcW w:w="752" w:type="dxa"/>
                  <w:vMerge w:val="restart"/>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7083</w:t>
                  </w:r>
                </w:p>
              </w:tc>
              <w:tc>
                <w:tcPr>
                  <w:tcW w:w="859"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84.588 </w:t>
                  </w:r>
                </w:p>
              </w:tc>
              <w:tc>
                <w:tcPr>
                  <w:tcW w:w="578" w:type="dxa"/>
                  <w:shd w:val="clear" w:color="auto" w:fill="auto"/>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0.599</w:t>
                  </w:r>
                </w:p>
              </w:tc>
              <w:tc>
                <w:tcPr>
                  <w:tcW w:w="654"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低氮燃烧技术+旋风+布袋除尘器+</w:t>
                  </w:r>
                  <w:r>
                    <w:rPr>
                      <w:rFonts w:hint="eastAsia"/>
                      <w:color w:val="000000" w:themeColor="text1"/>
                      <w:szCs w:val="21"/>
                      <w:lang w:val="en-US" w:eastAsia="zh-CN"/>
                      <w14:textFill>
                        <w14:solidFill>
                          <w14:schemeClr w14:val="tx1"/>
                        </w14:solidFill>
                      </w14:textFill>
                    </w:rPr>
                    <w:t>40</w:t>
                  </w:r>
                  <w:r>
                    <w:rPr>
                      <w:rFonts w:hint="eastAsia"/>
                      <w:color w:val="000000" w:themeColor="text1"/>
                      <w:szCs w:val="21"/>
                      <w14:textFill>
                        <w14:solidFill>
                          <w14:schemeClr w14:val="tx1"/>
                        </w14:solidFill>
                      </w14:textFill>
                    </w:rPr>
                    <w:t>m高烟囱排放</w:t>
                  </w:r>
                </w:p>
              </w:tc>
              <w:tc>
                <w:tcPr>
                  <w:tcW w:w="6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57"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物料衡算法</w:t>
                  </w:r>
                </w:p>
              </w:tc>
              <w:tc>
                <w:tcPr>
                  <w:tcW w:w="752" w:type="dxa"/>
                  <w:vMerge w:val="restart"/>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7083</w:t>
                  </w:r>
                </w:p>
              </w:tc>
              <w:tc>
                <w:tcPr>
                  <w:tcW w:w="859"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84.588 </w:t>
                  </w:r>
                </w:p>
              </w:tc>
              <w:tc>
                <w:tcPr>
                  <w:tcW w:w="73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0.599</w:t>
                  </w:r>
                </w:p>
              </w:tc>
              <w:tc>
                <w:tcPr>
                  <w:tcW w:w="562" w:type="dxa"/>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3990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6" w:hRule="atLeast"/>
                <w:jc w:val="center"/>
              </w:trPr>
              <w:tc>
                <w:tcPr>
                  <w:tcW w:w="356" w:type="dxa"/>
                  <w:vMerge w:val="continue"/>
                  <w:vAlign w:val="center"/>
                </w:tcPr>
                <w:p>
                  <w:pPr>
                    <w:jc w:val="center"/>
                    <w:rPr>
                      <w:color w:val="000000" w:themeColor="text1"/>
                      <w:szCs w:val="21"/>
                      <w14:textFill>
                        <w14:solidFill>
                          <w14:schemeClr w14:val="tx1"/>
                        </w14:solidFill>
                      </w14:textFill>
                    </w:rPr>
                  </w:pPr>
                </w:p>
              </w:tc>
              <w:tc>
                <w:tcPr>
                  <w:tcW w:w="357" w:type="dxa"/>
                  <w:vMerge w:val="continue"/>
                  <w:vAlign w:val="center"/>
                </w:tcPr>
                <w:p>
                  <w:pPr>
                    <w:jc w:val="center"/>
                    <w:rPr>
                      <w:color w:val="000000" w:themeColor="text1"/>
                      <w:szCs w:val="21"/>
                      <w14:textFill>
                        <w14:solidFill>
                          <w14:schemeClr w14:val="tx1"/>
                        </w14:solidFill>
                      </w14:textFill>
                    </w:rPr>
                  </w:pPr>
                </w:p>
              </w:tc>
              <w:tc>
                <w:tcPr>
                  <w:tcW w:w="623" w:type="dxa"/>
                  <w:vMerge w:val="continue"/>
                  <w:vAlign w:val="center"/>
                </w:tcPr>
                <w:p>
                  <w:pPr>
                    <w:jc w:val="center"/>
                    <w:rPr>
                      <w:color w:val="000000" w:themeColor="text1"/>
                      <w:szCs w:val="21"/>
                      <w14:textFill>
                        <w14:solidFill>
                          <w14:schemeClr w14:val="tx1"/>
                        </w14:solidFill>
                      </w14:textFill>
                    </w:rPr>
                  </w:pPr>
                </w:p>
              </w:tc>
              <w:tc>
                <w:tcPr>
                  <w:tcW w:w="35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氮氧化物</w:t>
                  </w:r>
                </w:p>
              </w:tc>
              <w:tc>
                <w:tcPr>
                  <w:tcW w:w="357" w:type="dxa"/>
                  <w:vMerge w:val="continue"/>
                  <w:vAlign w:val="center"/>
                </w:tcPr>
                <w:p>
                  <w:pPr>
                    <w:jc w:val="center"/>
                    <w:rPr>
                      <w:color w:val="000000" w:themeColor="text1"/>
                      <w:szCs w:val="21"/>
                      <w14:textFill>
                        <w14:solidFill>
                          <w14:schemeClr w14:val="tx1"/>
                        </w14:solidFill>
                      </w14:textFill>
                    </w:rPr>
                  </w:pPr>
                </w:p>
              </w:tc>
              <w:tc>
                <w:tcPr>
                  <w:tcW w:w="752" w:type="dxa"/>
                  <w:vMerge w:val="continue"/>
                  <w:vAlign w:val="center"/>
                </w:tcPr>
                <w:p>
                  <w:pPr>
                    <w:jc w:val="center"/>
                    <w:rPr>
                      <w:color w:val="000000" w:themeColor="text1"/>
                      <w:szCs w:val="21"/>
                      <w14:textFill>
                        <w14:solidFill>
                          <w14:schemeClr w14:val="tx1"/>
                        </w14:solidFill>
                      </w14:textFill>
                    </w:rPr>
                  </w:pPr>
                </w:p>
              </w:tc>
              <w:tc>
                <w:tcPr>
                  <w:tcW w:w="85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118.96</w:t>
                  </w:r>
                </w:p>
              </w:tc>
              <w:tc>
                <w:tcPr>
                  <w:tcW w:w="578"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0.843</w:t>
                  </w:r>
                </w:p>
              </w:tc>
              <w:tc>
                <w:tcPr>
                  <w:tcW w:w="654" w:type="dxa"/>
                  <w:vMerge w:val="continue"/>
                  <w:vAlign w:val="center"/>
                </w:tcPr>
                <w:p>
                  <w:pPr>
                    <w:jc w:val="center"/>
                    <w:rPr>
                      <w:color w:val="000000" w:themeColor="text1"/>
                      <w:szCs w:val="21"/>
                      <w14:textFill>
                        <w14:solidFill>
                          <w14:schemeClr w14:val="tx1"/>
                        </w14:solidFill>
                      </w14:textFill>
                    </w:rPr>
                  </w:pPr>
                </w:p>
              </w:tc>
              <w:tc>
                <w:tcPr>
                  <w:tcW w:w="60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r>
                    <w:rPr>
                      <w:rFonts w:hint="eastAsia"/>
                      <w:color w:val="000000" w:themeColor="text1"/>
                      <w:kern w:val="0"/>
                      <w:szCs w:val="21"/>
                      <w:lang w:bidi="ar"/>
                      <w14:textFill>
                        <w14:solidFill>
                          <w14:schemeClr w14:val="tx1"/>
                        </w14:solidFill>
                      </w14:textFill>
                    </w:rPr>
                    <w:t>（低氮燃烧技术减少产生量）</w:t>
                  </w:r>
                </w:p>
              </w:tc>
              <w:tc>
                <w:tcPr>
                  <w:tcW w:w="357" w:type="dxa"/>
                  <w:vMerge w:val="continue"/>
                  <w:vAlign w:val="center"/>
                </w:tcPr>
                <w:p>
                  <w:pPr>
                    <w:jc w:val="center"/>
                    <w:rPr>
                      <w:color w:val="000000" w:themeColor="text1"/>
                      <w:szCs w:val="21"/>
                      <w14:textFill>
                        <w14:solidFill>
                          <w14:schemeClr w14:val="tx1"/>
                        </w14:solidFill>
                      </w14:textFill>
                    </w:rPr>
                  </w:pPr>
                </w:p>
              </w:tc>
              <w:tc>
                <w:tcPr>
                  <w:tcW w:w="752" w:type="dxa"/>
                  <w:vMerge w:val="continue"/>
                  <w:vAlign w:val="center"/>
                </w:tcPr>
                <w:p>
                  <w:pPr>
                    <w:jc w:val="center"/>
                    <w:rPr>
                      <w:color w:val="000000" w:themeColor="text1"/>
                      <w:szCs w:val="21"/>
                      <w14:textFill>
                        <w14:solidFill>
                          <w14:schemeClr w14:val="tx1"/>
                        </w14:solidFill>
                      </w14:textFill>
                    </w:rPr>
                  </w:pPr>
                </w:p>
              </w:tc>
              <w:tc>
                <w:tcPr>
                  <w:tcW w:w="85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118.96</w:t>
                  </w:r>
                </w:p>
              </w:tc>
              <w:tc>
                <w:tcPr>
                  <w:tcW w:w="73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0.843</w:t>
                  </w:r>
                </w:p>
              </w:tc>
              <w:tc>
                <w:tcPr>
                  <w:tcW w:w="56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56" w:type="dxa"/>
                  <w:vMerge w:val="continue"/>
                  <w:vAlign w:val="center"/>
                </w:tcPr>
                <w:p>
                  <w:pPr>
                    <w:jc w:val="center"/>
                    <w:rPr>
                      <w:color w:val="000000" w:themeColor="text1"/>
                      <w:szCs w:val="21"/>
                      <w14:textFill>
                        <w14:solidFill>
                          <w14:schemeClr w14:val="tx1"/>
                        </w14:solidFill>
                      </w14:textFill>
                    </w:rPr>
                  </w:pPr>
                </w:p>
              </w:tc>
              <w:tc>
                <w:tcPr>
                  <w:tcW w:w="357" w:type="dxa"/>
                  <w:vMerge w:val="continue"/>
                  <w:vAlign w:val="center"/>
                </w:tcPr>
                <w:p>
                  <w:pPr>
                    <w:jc w:val="center"/>
                    <w:rPr>
                      <w:color w:val="000000" w:themeColor="text1"/>
                      <w:szCs w:val="21"/>
                      <w14:textFill>
                        <w14:solidFill>
                          <w14:schemeClr w14:val="tx1"/>
                        </w14:solidFill>
                      </w14:textFill>
                    </w:rPr>
                  </w:pPr>
                </w:p>
              </w:tc>
              <w:tc>
                <w:tcPr>
                  <w:tcW w:w="623" w:type="dxa"/>
                  <w:vMerge w:val="continue"/>
                  <w:vAlign w:val="center"/>
                </w:tcPr>
                <w:p>
                  <w:pPr>
                    <w:jc w:val="center"/>
                    <w:rPr>
                      <w:color w:val="000000" w:themeColor="text1"/>
                      <w:szCs w:val="21"/>
                      <w14:textFill>
                        <w14:solidFill>
                          <w14:schemeClr w14:val="tx1"/>
                        </w14:solidFill>
                      </w14:textFill>
                    </w:rPr>
                  </w:pPr>
                </w:p>
              </w:tc>
              <w:tc>
                <w:tcPr>
                  <w:tcW w:w="35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57" w:type="dxa"/>
                  <w:vMerge w:val="continue"/>
                  <w:vAlign w:val="center"/>
                </w:tcPr>
                <w:p>
                  <w:pPr>
                    <w:jc w:val="center"/>
                    <w:rPr>
                      <w:color w:val="000000" w:themeColor="text1"/>
                      <w:szCs w:val="21"/>
                      <w14:textFill>
                        <w14:solidFill>
                          <w14:schemeClr w14:val="tx1"/>
                        </w14:solidFill>
                      </w14:textFill>
                    </w:rPr>
                  </w:pPr>
                </w:p>
              </w:tc>
              <w:tc>
                <w:tcPr>
                  <w:tcW w:w="752" w:type="dxa"/>
                  <w:vMerge w:val="continue"/>
                  <w:vAlign w:val="center"/>
                </w:tcPr>
                <w:p>
                  <w:pPr>
                    <w:jc w:val="center"/>
                    <w:rPr>
                      <w:color w:val="000000" w:themeColor="text1"/>
                      <w:szCs w:val="21"/>
                      <w14:textFill>
                        <w14:solidFill>
                          <w14:schemeClr w14:val="tx1"/>
                        </w14:solidFill>
                      </w14:textFill>
                    </w:rPr>
                  </w:pPr>
                </w:p>
              </w:tc>
              <w:tc>
                <w:tcPr>
                  <w:tcW w:w="859"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13703.629 </w:t>
                  </w:r>
                </w:p>
              </w:tc>
              <w:tc>
                <w:tcPr>
                  <w:tcW w:w="578"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97.065</w:t>
                  </w:r>
                </w:p>
              </w:tc>
              <w:tc>
                <w:tcPr>
                  <w:tcW w:w="654" w:type="dxa"/>
                  <w:vMerge w:val="continue"/>
                  <w:vAlign w:val="center"/>
                </w:tcPr>
                <w:p>
                  <w:pPr>
                    <w:jc w:val="center"/>
                    <w:rPr>
                      <w:color w:val="000000" w:themeColor="text1"/>
                      <w:szCs w:val="21"/>
                      <w14:textFill>
                        <w14:solidFill>
                          <w14:schemeClr w14:val="tx1"/>
                        </w14:solidFill>
                      </w14:textFill>
                    </w:rPr>
                  </w:pPr>
                </w:p>
              </w:tc>
              <w:tc>
                <w:tcPr>
                  <w:tcW w:w="6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99.7</w:t>
                  </w:r>
                </w:p>
              </w:tc>
              <w:tc>
                <w:tcPr>
                  <w:tcW w:w="357" w:type="dxa"/>
                  <w:vMerge w:val="continue"/>
                  <w:vAlign w:val="center"/>
                </w:tcPr>
                <w:p>
                  <w:pPr>
                    <w:jc w:val="center"/>
                    <w:rPr>
                      <w:color w:val="000000" w:themeColor="text1"/>
                      <w:szCs w:val="21"/>
                      <w14:textFill>
                        <w14:solidFill>
                          <w14:schemeClr w14:val="tx1"/>
                        </w14:solidFill>
                      </w14:textFill>
                    </w:rPr>
                  </w:pPr>
                </w:p>
              </w:tc>
              <w:tc>
                <w:tcPr>
                  <w:tcW w:w="752" w:type="dxa"/>
                  <w:vMerge w:val="continue"/>
                  <w:vAlign w:val="center"/>
                </w:tcPr>
                <w:p>
                  <w:pPr>
                    <w:jc w:val="center"/>
                    <w:rPr>
                      <w:color w:val="000000" w:themeColor="text1"/>
                      <w:szCs w:val="21"/>
                      <w14:textFill>
                        <w14:solidFill>
                          <w14:schemeClr w14:val="tx1"/>
                        </w14:solidFill>
                      </w14:textFill>
                    </w:rPr>
                  </w:pPr>
                </w:p>
              </w:tc>
              <w:tc>
                <w:tcPr>
                  <w:tcW w:w="859"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41.111 </w:t>
                  </w:r>
                </w:p>
              </w:tc>
              <w:tc>
                <w:tcPr>
                  <w:tcW w:w="73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0.291</w:t>
                  </w:r>
                </w:p>
              </w:tc>
              <w:tc>
                <w:tcPr>
                  <w:tcW w:w="562" w:type="dxa"/>
                  <w:vMerge w:val="continue"/>
                  <w:vAlign w:val="center"/>
                </w:tcPr>
                <w:p>
                  <w:pPr>
                    <w:jc w:val="center"/>
                    <w:rPr>
                      <w:color w:val="000000" w:themeColor="text1"/>
                      <w:szCs w:val="21"/>
                      <w14:textFill>
                        <w14:solidFill>
                          <w14:schemeClr w14:val="tx1"/>
                        </w14:solidFill>
                      </w14:textFill>
                    </w:rPr>
                  </w:pPr>
                </w:p>
              </w:tc>
            </w:tr>
          </w:tbl>
          <w:p>
            <w:pPr>
              <w:ind w:firstLine="371" w:firstLineChars="176"/>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表</w:t>
            </w:r>
            <w:r>
              <w:rPr>
                <w:rFonts w:hint="eastAsia"/>
                <w:b/>
                <w:color w:val="000000" w:themeColor="text1"/>
                <w:sz w:val="21"/>
                <w:szCs w:val="21"/>
                <w14:textFill>
                  <w14:solidFill>
                    <w14:schemeClr w14:val="tx1"/>
                  </w14:solidFill>
                </w14:textFill>
              </w:rPr>
              <w:t>4-</w:t>
            </w:r>
            <w:r>
              <w:rPr>
                <w:b/>
                <w:color w:val="000000" w:themeColor="text1"/>
                <w:sz w:val="21"/>
                <w:szCs w:val="21"/>
                <w14:textFill>
                  <w14:solidFill>
                    <w14:schemeClr w14:val="tx1"/>
                  </w14:solidFill>
                </w14:textFill>
              </w:rPr>
              <w:t>3</w:t>
            </w:r>
            <w:r>
              <w:rPr>
                <w:rFonts w:hint="eastAsia"/>
                <w:b/>
                <w:color w:val="000000" w:themeColor="text1"/>
                <w:sz w:val="21"/>
                <w:szCs w:val="21"/>
                <w14:textFill>
                  <w14:solidFill>
                    <w14:schemeClr w14:val="tx1"/>
                  </w14:solidFill>
                </w14:textFill>
              </w:rPr>
              <w:t xml:space="preserve"> </w:t>
            </w:r>
            <w:r>
              <w:rPr>
                <w:b/>
                <w:bCs/>
                <w:color w:val="000000" w:themeColor="text1"/>
                <w:kern w:val="0"/>
                <w:sz w:val="21"/>
                <w:szCs w:val="21"/>
                <w14:textFill>
                  <w14:solidFill>
                    <w14:schemeClr w14:val="tx1"/>
                  </w14:solidFill>
                </w14:textFill>
              </w:rPr>
              <w:t xml:space="preserve"> </w:t>
            </w:r>
            <w:r>
              <w:rPr>
                <w:rFonts w:hint="eastAsia"/>
                <w:b/>
                <w:bCs/>
                <w:color w:val="000000" w:themeColor="text1"/>
                <w:kern w:val="0"/>
                <w:sz w:val="21"/>
                <w:szCs w:val="21"/>
                <w14:textFill>
                  <w14:solidFill>
                    <w14:schemeClr w14:val="tx1"/>
                  </w14:solidFill>
                </w14:textFill>
              </w:rPr>
              <w:t>排放口基本情况表</w:t>
            </w:r>
          </w:p>
          <w:tbl>
            <w:tblPr>
              <w:tblStyle w:val="36"/>
              <w:tblW w:w="87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71"/>
              <w:gridCol w:w="817"/>
              <w:gridCol w:w="866"/>
              <w:gridCol w:w="1067"/>
              <w:gridCol w:w="1725"/>
              <w:gridCol w:w="850"/>
              <w:gridCol w:w="975"/>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56" w:type="dxa"/>
                  <w:vMerge w:val="restar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序号</w:t>
                  </w:r>
                </w:p>
              </w:tc>
              <w:tc>
                <w:tcPr>
                  <w:tcW w:w="971" w:type="dxa"/>
                  <w:vMerge w:val="restar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编号及名称</w:t>
                  </w:r>
                </w:p>
              </w:tc>
              <w:tc>
                <w:tcPr>
                  <w:tcW w:w="817" w:type="dxa"/>
                  <w:vMerge w:val="restar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类型</w:t>
                  </w:r>
                </w:p>
              </w:tc>
              <w:tc>
                <w:tcPr>
                  <w:tcW w:w="866" w:type="dxa"/>
                  <w:vMerge w:val="restar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高度（m）</w:t>
                  </w:r>
                </w:p>
              </w:tc>
              <w:tc>
                <w:tcPr>
                  <w:tcW w:w="1067" w:type="dxa"/>
                  <w:vMerge w:val="restar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排气筒内径（m）</w:t>
                  </w:r>
                </w:p>
              </w:tc>
              <w:tc>
                <w:tcPr>
                  <w:tcW w:w="1725" w:type="dxa"/>
                  <w:vMerge w:val="restar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污染物</w:t>
                  </w:r>
                </w:p>
              </w:tc>
              <w:tc>
                <w:tcPr>
                  <w:tcW w:w="850" w:type="dxa"/>
                  <w:vMerge w:val="restart"/>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温度（</w:t>
                  </w:r>
                  <w:r>
                    <w:rPr>
                      <w:rFonts w:hint="eastAsia"/>
                      <w:color w:val="000000" w:themeColor="text1"/>
                      <w14:textFill>
                        <w14:solidFill>
                          <w14:schemeClr w14:val="tx1"/>
                        </w14:solidFill>
                      </w14:textFill>
                    </w:rPr>
                    <w:t>℃</w:t>
                  </w:r>
                  <w:r>
                    <w:rPr>
                      <w:rFonts w:hint="eastAsia"/>
                      <w:bCs/>
                      <w:color w:val="000000" w:themeColor="text1"/>
                      <w:kern w:val="0"/>
                      <w:szCs w:val="21"/>
                      <w14:textFill>
                        <w14:solidFill>
                          <w14:schemeClr w14:val="tx1"/>
                        </w14:solidFill>
                      </w14:textFill>
                    </w:rPr>
                    <w:t>）</w:t>
                  </w:r>
                </w:p>
              </w:tc>
              <w:tc>
                <w:tcPr>
                  <w:tcW w:w="2012" w:type="dxa"/>
                  <w:gridSpan w:val="2"/>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地理坐标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56" w:type="dxa"/>
                  <w:vMerge w:val="continue"/>
                  <w:vAlign w:val="center"/>
                </w:tcPr>
                <w:p>
                  <w:pPr>
                    <w:jc w:val="center"/>
                    <w:rPr>
                      <w:color w:val="000000" w:themeColor="text1"/>
                      <w14:textFill>
                        <w14:solidFill>
                          <w14:schemeClr w14:val="tx1"/>
                        </w14:solidFill>
                      </w14:textFill>
                    </w:rPr>
                  </w:pPr>
                </w:p>
              </w:tc>
              <w:tc>
                <w:tcPr>
                  <w:tcW w:w="971" w:type="dxa"/>
                  <w:vMerge w:val="continue"/>
                  <w:vAlign w:val="center"/>
                </w:tcPr>
                <w:p>
                  <w:pPr>
                    <w:jc w:val="center"/>
                    <w:rPr>
                      <w:color w:val="000000" w:themeColor="text1"/>
                      <w14:textFill>
                        <w14:solidFill>
                          <w14:schemeClr w14:val="tx1"/>
                        </w14:solidFill>
                      </w14:textFill>
                    </w:rPr>
                  </w:pPr>
                </w:p>
              </w:tc>
              <w:tc>
                <w:tcPr>
                  <w:tcW w:w="817" w:type="dxa"/>
                  <w:vMerge w:val="continue"/>
                  <w:vAlign w:val="center"/>
                </w:tcPr>
                <w:p>
                  <w:pPr>
                    <w:jc w:val="center"/>
                    <w:rPr>
                      <w:color w:val="000000" w:themeColor="text1"/>
                      <w14:textFill>
                        <w14:solidFill>
                          <w14:schemeClr w14:val="tx1"/>
                        </w14:solidFill>
                      </w14:textFill>
                    </w:rPr>
                  </w:pPr>
                </w:p>
              </w:tc>
              <w:tc>
                <w:tcPr>
                  <w:tcW w:w="866" w:type="dxa"/>
                  <w:vMerge w:val="continue"/>
                  <w:vAlign w:val="center"/>
                </w:tcPr>
                <w:p>
                  <w:pPr>
                    <w:jc w:val="center"/>
                    <w:rPr>
                      <w:color w:val="000000" w:themeColor="text1"/>
                      <w14:textFill>
                        <w14:solidFill>
                          <w14:schemeClr w14:val="tx1"/>
                        </w14:solidFill>
                      </w14:textFill>
                    </w:rPr>
                  </w:pPr>
                </w:p>
              </w:tc>
              <w:tc>
                <w:tcPr>
                  <w:tcW w:w="1067" w:type="dxa"/>
                  <w:vMerge w:val="continue"/>
                  <w:vAlign w:val="center"/>
                </w:tcPr>
                <w:p>
                  <w:pPr>
                    <w:jc w:val="center"/>
                    <w:rPr>
                      <w:color w:val="000000" w:themeColor="text1"/>
                      <w14:textFill>
                        <w14:solidFill>
                          <w14:schemeClr w14:val="tx1"/>
                        </w14:solidFill>
                      </w14:textFill>
                    </w:rPr>
                  </w:pPr>
                </w:p>
              </w:tc>
              <w:tc>
                <w:tcPr>
                  <w:tcW w:w="1725" w:type="dxa"/>
                  <w:vMerge w:val="continue"/>
                  <w:vAlign w:val="center"/>
                </w:tcPr>
                <w:p>
                  <w:pPr>
                    <w:jc w:val="center"/>
                    <w:rPr>
                      <w:color w:val="000000" w:themeColor="text1"/>
                      <w14:textFill>
                        <w14:solidFill>
                          <w14:schemeClr w14:val="tx1"/>
                        </w14:solidFill>
                      </w14:textFill>
                    </w:rPr>
                  </w:pPr>
                </w:p>
              </w:tc>
              <w:tc>
                <w:tcPr>
                  <w:tcW w:w="850" w:type="dxa"/>
                  <w:vMerge w:val="continue"/>
                  <w:vAlign w:val="center"/>
                </w:tcPr>
                <w:p>
                  <w:pPr>
                    <w:jc w:val="center"/>
                    <w:rPr>
                      <w:color w:val="000000" w:themeColor="text1"/>
                      <w14:textFill>
                        <w14:solidFill>
                          <w14:schemeClr w14:val="tx1"/>
                        </w14:solidFill>
                      </w14:textFill>
                    </w:rPr>
                  </w:pPr>
                </w:p>
              </w:tc>
              <w:tc>
                <w:tcPr>
                  <w:tcW w:w="975"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经度</w:t>
                  </w:r>
                </w:p>
              </w:tc>
              <w:tc>
                <w:tcPr>
                  <w:tcW w:w="1037"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56"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971"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DA001</w:t>
                  </w:r>
                </w:p>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烟囱</w:t>
                  </w:r>
                </w:p>
              </w:tc>
              <w:tc>
                <w:tcPr>
                  <w:tcW w:w="817" w:type="dxa"/>
                  <w:vAlign w:val="center"/>
                </w:tcPr>
                <w:p>
                  <w:pPr>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一般排放口</w:t>
                  </w:r>
                </w:p>
              </w:tc>
              <w:tc>
                <w:tcPr>
                  <w:tcW w:w="866"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40</w:t>
                  </w:r>
                </w:p>
              </w:tc>
              <w:tc>
                <w:tcPr>
                  <w:tcW w:w="1067" w:type="dxa"/>
                  <w:vAlign w:val="center"/>
                </w:tcPr>
                <w:p>
                  <w:pPr>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w:t>
                  </w:r>
                </w:p>
              </w:tc>
              <w:tc>
                <w:tcPr>
                  <w:tcW w:w="1725" w:type="dxa"/>
                  <w:vAlign w:val="center"/>
                </w:tcPr>
                <w:p>
                  <w:pPr>
                    <w:jc w:val="center"/>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颗粒物</w:t>
                  </w:r>
                  <w:r>
                    <w:rPr>
                      <w:color w:val="000000" w:themeColor="text1"/>
                      <w:kern w:val="0"/>
                      <w:szCs w:val="21"/>
                      <w14:textFill>
                        <w14:solidFill>
                          <w14:schemeClr w14:val="tx1"/>
                        </w14:solidFill>
                      </w14:textFill>
                    </w:rPr>
                    <w:t>、二氧化硫、</w:t>
                  </w:r>
                  <w:r>
                    <w:rPr>
                      <w:rFonts w:hint="eastAsia"/>
                      <w:color w:val="000000" w:themeColor="text1"/>
                      <w:kern w:val="0"/>
                      <w:szCs w:val="21"/>
                      <w14:textFill>
                        <w14:solidFill>
                          <w14:schemeClr w14:val="tx1"/>
                        </w14:solidFill>
                      </w14:textFill>
                    </w:rPr>
                    <w:t>氮氧化物、林格曼黑度</w:t>
                  </w:r>
                </w:p>
              </w:tc>
              <w:tc>
                <w:tcPr>
                  <w:tcW w:w="850"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0</w:t>
                  </w:r>
                </w:p>
              </w:tc>
              <w:tc>
                <w:tcPr>
                  <w:tcW w:w="975"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129.76186761</w:t>
                  </w:r>
                </w:p>
              </w:tc>
              <w:tc>
                <w:tcPr>
                  <w:tcW w:w="1037" w:type="dxa"/>
                  <w:vAlign w:val="center"/>
                </w:tcPr>
                <w:p>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49.18307730</w:t>
                  </w:r>
                </w:p>
              </w:tc>
            </w:tr>
          </w:tbl>
          <w:p>
            <w:pPr>
              <w:pStyle w:val="124"/>
              <w:adjustRightInd w:val="0"/>
              <w:spacing w:line="336"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（2）非</w:t>
            </w:r>
            <w:r>
              <w:rPr>
                <w:color w:val="000000" w:themeColor="text1"/>
                <w:sz w:val="24"/>
                <w14:textFill>
                  <w14:solidFill>
                    <w14:schemeClr w14:val="tx1"/>
                  </w14:solidFill>
                </w14:textFill>
              </w:rPr>
              <w:t>正常工况</w:t>
            </w:r>
          </w:p>
          <w:p>
            <w:pPr>
              <w:pStyle w:val="124"/>
              <w:adjustRightInd w:val="0"/>
              <w:spacing w:line="336" w:lineRule="auto"/>
              <w:ind w:firstLine="480"/>
              <w:rPr>
                <w:color w:val="000000" w:themeColor="text1"/>
                <w:sz w:val="21"/>
                <w:szCs w:val="21"/>
                <w14:textFill>
                  <w14:solidFill>
                    <w14:schemeClr w14:val="tx1"/>
                  </w14:solidFill>
                </w14:textFill>
              </w:rPr>
            </w:pPr>
            <w:r>
              <w:rPr>
                <w:color w:val="000000" w:themeColor="text1"/>
                <w:sz w:val="24"/>
                <w14:textFill>
                  <w14:solidFill>
                    <w14:schemeClr w14:val="tx1"/>
                  </w14:solidFill>
                </w14:textFill>
              </w:rPr>
              <w:t>本项目非正常工况设定情景如下：本项目非正常工况设定情景如下：</w:t>
            </w:r>
            <w:r>
              <w:rPr>
                <w:rFonts w:hint="eastAsia"/>
                <w:color w:val="000000" w:themeColor="text1"/>
                <w:sz w:val="24"/>
                <w14:textFill>
                  <w14:solidFill>
                    <w14:schemeClr w14:val="tx1"/>
                  </w14:solidFill>
                </w14:textFill>
              </w:rPr>
              <w:t>锅炉</w:t>
            </w:r>
            <w:r>
              <w:rPr>
                <w:color w:val="000000" w:themeColor="text1"/>
                <w:sz w:val="24"/>
                <w14:textFill>
                  <w14:solidFill>
                    <w14:schemeClr w14:val="tx1"/>
                  </w14:solidFill>
                </w14:textFill>
              </w:rPr>
              <w:t>布袋除尘器破损</w:t>
            </w:r>
            <w:r>
              <w:rPr>
                <w:rFonts w:hint="eastAsia"/>
                <w:color w:val="000000" w:themeColor="text1"/>
                <w:sz w:val="24"/>
                <w14:textFill>
                  <w14:solidFill>
                    <w14:schemeClr w14:val="tx1"/>
                  </w14:solidFill>
                </w14:textFill>
              </w:rPr>
              <w:t>，参考</w:t>
            </w:r>
            <w:r>
              <w:rPr>
                <w:color w:val="000000" w:themeColor="text1"/>
                <w:sz w:val="24"/>
                <w:szCs w:val="32"/>
                <w14:textFill>
                  <w14:solidFill>
                    <w14:schemeClr w14:val="tx1"/>
                  </w14:solidFill>
                </w14:textFill>
              </w:rPr>
              <w:t>《排放源统计调查产排污核算方法和系数手册》</w:t>
            </w:r>
            <w:r>
              <w:rPr>
                <w:rFonts w:hint="eastAsia"/>
                <w:color w:val="000000" w:themeColor="text1"/>
                <w:sz w:val="24"/>
                <w:szCs w:val="32"/>
                <w14:textFill>
                  <w14:solidFill>
                    <w14:schemeClr w14:val="tx1"/>
                  </w14:solidFill>
                </w14:textFill>
              </w:rPr>
              <w:t>中</w:t>
            </w:r>
            <w:r>
              <w:rPr>
                <w:rFonts w:hint="eastAsia"/>
                <w:color w:val="000000" w:themeColor="text1"/>
                <w:sz w:val="24"/>
                <w14:textFill>
                  <w14:solidFill>
                    <w14:schemeClr w14:val="tx1"/>
                  </w14:solidFill>
                </w14:textFill>
              </w:rPr>
              <w:t>4430工业锅炉（热力生产和供应行业）产污系数表-生物质工业锅炉，旋风除尘法去除效率70%，仅旋风除尘器运行，去除效率降至70</w:t>
            </w:r>
            <w:r>
              <w:rPr>
                <w:color w:val="000000" w:themeColor="text1"/>
                <w:sz w:val="24"/>
                <w14:textFill>
                  <w14:solidFill>
                    <w14:schemeClr w14:val="tx1"/>
                  </w14:solidFill>
                </w14:textFill>
              </w:rPr>
              <w:t>%，本项目非正常情况排放污染物见下</w:t>
            </w:r>
            <w:r>
              <w:rPr>
                <w:color w:val="000000" w:themeColor="text1"/>
                <w:sz w:val="24"/>
                <w:szCs w:val="24"/>
                <w14:textFill>
                  <w14:solidFill>
                    <w14:schemeClr w14:val="tx1"/>
                  </w14:solidFill>
                </w14:textFill>
              </w:rPr>
              <w:t>表</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4。</w:t>
            </w:r>
          </w:p>
          <w:p>
            <w:pPr>
              <w:ind w:firstLine="371" w:firstLineChars="176"/>
              <w:jc w:val="center"/>
              <w:rPr>
                <w:b/>
                <w:bCs/>
                <w:color w:val="000000" w:themeColor="text1"/>
                <w:kern w:val="0"/>
                <w:sz w:val="24"/>
                <w14:textFill>
                  <w14:solidFill>
                    <w14:schemeClr w14:val="tx1"/>
                  </w14:solidFill>
                </w14:textFill>
              </w:rPr>
            </w:pPr>
            <w:r>
              <w:rPr>
                <w:b/>
                <w:bCs/>
                <w:color w:val="000000" w:themeColor="text1"/>
                <w:kern w:val="0"/>
                <w:sz w:val="21"/>
                <w:szCs w:val="21"/>
                <w14:textFill>
                  <w14:solidFill>
                    <w14:schemeClr w14:val="tx1"/>
                  </w14:solidFill>
                </w14:textFill>
              </w:rPr>
              <w:t>表4-4  非正常工况下废气污染物产生及排放情况</w:t>
            </w:r>
          </w:p>
          <w:tbl>
            <w:tblPr>
              <w:tblStyle w:val="36"/>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156"/>
              <w:gridCol w:w="1554"/>
              <w:gridCol w:w="1301"/>
              <w:gridCol w:w="1554"/>
              <w:gridCol w:w="1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740" w:type="dxa"/>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污染源</w:t>
                  </w:r>
                </w:p>
              </w:tc>
              <w:tc>
                <w:tcPr>
                  <w:tcW w:w="1156" w:type="dxa"/>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污染物</w:t>
                  </w:r>
                </w:p>
              </w:tc>
              <w:tc>
                <w:tcPr>
                  <w:tcW w:w="1554" w:type="dxa"/>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产生速率</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kg/h</w:t>
                  </w:r>
                  <w:r>
                    <w:rPr>
                      <w:rFonts w:hint="eastAsia" w:eastAsia="宋体"/>
                      <w:color w:val="000000" w:themeColor="text1"/>
                      <w:sz w:val="21"/>
                      <w:szCs w:val="21"/>
                      <w14:textFill>
                        <w14:solidFill>
                          <w14:schemeClr w14:val="tx1"/>
                        </w14:solidFill>
                      </w14:textFill>
                    </w:rPr>
                    <w:t>）</w:t>
                  </w:r>
                </w:p>
              </w:tc>
              <w:tc>
                <w:tcPr>
                  <w:tcW w:w="1301" w:type="dxa"/>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非正常排放原因</w:t>
                  </w:r>
                </w:p>
              </w:tc>
              <w:tc>
                <w:tcPr>
                  <w:tcW w:w="1554" w:type="dxa"/>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排放速率</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kg/h</w:t>
                  </w:r>
                  <w:r>
                    <w:rPr>
                      <w:rFonts w:hint="eastAsia" w:eastAsia="宋体"/>
                      <w:color w:val="000000" w:themeColor="text1"/>
                      <w:sz w:val="21"/>
                      <w:szCs w:val="21"/>
                      <w14:textFill>
                        <w14:solidFill>
                          <w14:schemeClr w14:val="tx1"/>
                        </w14:solidFill>
                      </w14:textFill>
                    </w:rPr>
                    <w:t>）</w:t>
                  </w:r>
                </w:p>
              </w:tc>
              <w:tc>
                <w:tcPr>
                  <w:tcW w:w="1199" w:type="dxa"/>
                  <w:vAlign w:val="center"/>
                </w:tcPr>
                <w:p>
                  <w:pPr>
                    <w:pStyle w:val="126"/>
                    <w:widowControl w:val="0"/>
                    <w:adjustRightInd w:val="0"/>
                    <w:spacing w:line="240" w:lineRule="auto"/>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单次持续时间</w:t>
                  </w:r>
                  <w:r>
                    <w:rPr>
                      <w:rFonts w:hint="eastAsia" w:eastAsia="宋体"/>
                      <w:color w:val="000000" w:themeColor="text1"/>
                      <w:sz w:val="21"/>
                      <w:szCs w:val="21"/>
                      <w14:textFill>
                        <w14:solidFill>
                          <w14:schemeClr w14:val="tx1"/>
                        </w14:solidFill>
                      </w14:textFill>
                    </w:rPr>
                    <w:t>（</w:t>
                  </w:r>
                  <w:r>
                    <w:rPr>
                      <w:rFonts w:eastAsia="宋体"/>
                      <w:color w:val="000000" w:themeColor="text1"/>
                      <w:sz w:val="21"/>
                      <w:szCs w:val="21"/>
                      <w14:textFill>
                        <w14:solidFill>
                          <w14:schemeClr w14:val="tx1"/>
                        </w14:solidFill>
                      </w14:textFill>
                    </w:rPr>
                    <w:t>h</w:t>
                  </w:r>
                  <w:r>
                    <w:rPr>
                      <w:rFonts w:hint="eastAsia" w:eastAsia="宋体"/>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1740" w:type="dxa"/>
                  <w:vMerge w:val="restart"/>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燃生物质锅炉</w:t>
                  </w:r>
                </w:p>
              </w:tc>
              <w:tc>
                <w:tcPr>
                  <w:tcW w:w="1156" w:type="dxa"/>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SO</w:t>
                  </w:r>
                  <w:r>
                    <w:rPr>
                      <w:rFonts w:eastAsia="宋体"/>
                      <w:color w:val="000000" w:themeColor="text1"/>
                      <w:sz w:val="21"/>
                      <w:szCs w:val="21"/>
                      <w:vertAlign w:val="subscript"/>
                      <w14:textFill>
                        <w14:solidFill>
                          <w14:schemeClr w14:val="tx1"/>
                        </w14:solidFill>
                      </w14:textFill>
                    </w:rPr>
                    <w:t>2</w:t>
                  </w:r>
                </w:p>
              </w:tc>
              <w:tc>
                <w:tcPr>
                  <w:tcW w:w="1554" w:type="dxa"/>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0.599</w:t>
                  </w:r>
                </w:p>
              </w:tc>
              <w:tc>
                <w:tcPr>
                  <w:tcW w:w="1301" w:type="dxa"/>
                  <w:vMerge w:val="restart"/>
                  <w:vAlign w:val="center"/>
                </w:tcPr>
                <w:p>
                  <w:pPr>
                    <w:pStyle w:val="126"/>
                    <w:widowControl w:val="0"/>
                    <w:adjustRightInd w:val="0"/>
                    <w:spacing w:before="0" w:line="240" w:lineRule="auto"/>
                    <w:ind w:right="0"/>
                    <w:rPr>
                      <w:rFonts w:hint="eastAsia" w:eastAsia="宋体"/>
                      <w:color w:val="000000" w:themeColor="text1"/>
                      <w:sz w:val="21"/>
                      <w:szCs w:val="21"/>
                      <w:lang w:eastAsia="zh-CN"/>
                      <w14:textFill>
                        <w14:solidFill>
                          <w14:schemeClr w14:val="tx1"/>
                        </w14:solidFill>
                      </w14:textFill>
                    </w:rPr>
                  </w:pPr>
                  <w:r>
                    <w:rPr>
                      <w:rFonts w:eastAsia="宋体"/>
                      <w:color w:val="000000" w:themeColor="text1"/>
                      <w:sz w:val="21"/>
                      <w:szCs w:val="21"/>
                      <w14:textFill>
                        <w14:solidFill>
                          <w14:schemeClr w14:val="tx1"/>
                        </w14:solidFill>
                      </w14:textFill>
                    </w:rPr>
                    <w:t>布袋除尘器</w:t>
                  </w:r>
                  <w:r>
                    <w:rPr>
                      <w:rFonts w:hint="eastAsia" w:eastAsia="宋体"/>
                      <w:color w:val="000000" w:themeColor="text1"/>
                      <w:sz w:val="21"/>
                      <w:szCs w:val="21"/>
                      <w:lang w:val="en-US" w:eastAsia="zh-CN"/>
                      <w14:textFill>
                        <w14:solidFill>
                          <w14:schemeClr w14:val="tx1"/>
                        </w14:solidFill>
                      </w14:textFill>
                    </w:rPr>
                    <w:t>破损</w:t>
                  </w:r>
                </w:p>
              </w:tc>
              <w:tc>
                <w:tcPr>
                  <w:tcW w:w="1554" w:type="dxa"/>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0.599</w:t>
                  </w:r>
                </w:p>
              </w:tc>
              <w:tc>
                <w:tcPr>
                  <w:tcW w:w="1199" w:type="dxa"/>
                  <w:vMerge w:val="restart"/>
                  <w:vAlign w:val="center"/>
                </w:tcPr>
                <w:p>
                  <w:pPr>
                    <w:pStyle w:val="126"/>
                    <w:widowControl w:val="0"/>
                    <w:adjustRightInd w:val="0"/>
                    <w:spacing w:line="240" w:lineRule="auto"/>
                    <w:rPr>
                      <w:color w:val="000000" w:themeColor="text1"/>
                      <w:szCs w:val="24"/>
                      <w14:textFill>
                        <w14:solidFill>
                          <w14:schemeClr w14:val="tx1"/>
                        </w14:solidFill>
                      </w14:textFill>
                    </w:rPr>
                  </w:pPr>
                  <w:r>
                    <w:rPr>
                      <w:rFonts w:hint="eastAsia" w:eastAsia="宋体"/>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740" w:type="dxa"/>
                  <w:vMerge w:val="continue"/>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p>
              </w:tc>
              <w:tc>
                <w:tcPr>
                  <w:tcW w:w="1156" w:type="dxa"/>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NO</w:t>
                  </w:r>
                  <w:r>
                    <w:rPr>
                      <w:rFonts w:eastAsia="宋体"/>
                      <w:color w:val="000000" w:themeColor="text1"/>
                      <w:sz w:val="21"/>
                      <w:szCs w:val="21"/>
                      <w:vertAlign w:val="subscript"/>
                      <w14:textFill>
                        <w14:solidFill>
                          <w14:schemeClr w14:val="tx1"/>
                        </w14:solidFill>
                      </w14:textFill>
                    </w:rPr>
                    <w:t>X</w:t>
                  </w:r>
                </w:p>
              </w:tc>
              <w:tc>
                <w:tcPr>
                  <w:tcW w:w="1554" w:type="dxa"/>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0.843</w:t>
                  </w:r>
                </w:p>
              </w:tc>
              <w:tc>
                <w:tcPr>
                  <w:tcW w:w="1301" w:type="dxa"/>
                  <w:vMerge w:val="continue"/>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p>
              </w:tc>
              <w:tc>
                <w:tcPr>
                  <w:tcW w:w="1554" w:type="dxa"/>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0.843</w:t>
                  </w:r>
                </w:p>
              </w:tc>
              <w:tc>
                <w:tcPr>
                  <w:tcW w:w="1199" w:type="dxa"/>
                  <w:vMerge w:val="continue"/>
                  <w:vAlign w:val="center"/>
                </w:tcPr>
                <w:p>
                  <w:pPr>
                    <w:ind w:firstLine="480"/>
                    <w:jc w:val="center"/>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1740" w:type="dxa"/>
                  <w:vMerge w:val="continue"/>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p>
              </w:tc>
              <w:tc>
                <w:tcPr>
                  <w:tcW w:w="1156" w:type="dxa"/>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颗粒物</w:t>
                  </w:r>
                </w:p>
              </w:tc>
              <w:tc>
                <w:tcPr>
                  <w:tcW w:w="1554" w:type="dxa"/>
                  <w:shd w:val="clear" w:color="auto" w:fill="auto"/>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97.065</w:t>
                  </w:r>
                </w:p>
              </w:tc>
              <w:tc>
                <w:tcPr>
                  <w:tcW w:w="1301" w:type="dxa"/>
                  <w:vMerge w:val="continue"/>
                  <w:vAlign w:val="center"/>
                </w:tcPr>
                <w:p>
                  <w:pPr>
                    <w:pStyle w:val="126"/>
                    <w:widowControl w:val="0"/>
                    <w:adjustRightInd w:val="0"/>
                    <w:spacing w:before="0" w:line="240" w:lineRule="auto"/>
                    <w:ind w:right="0"/>
                    <w:rPr>
                      <w:rFonts w:eastAsia="宋体"/>
                      <w:color w:val="000000" w:themeColor="text1"/>
                      <w:sz w:val="21"/>
                      <w:szCs w:val="21"/>
                      <w14:textFill>
                        <w14:solidFill>
                          <w14:schemeClr w14:val="tx1"/>
                        </w14:solidFill>
                      </w14:textFill>
                    </w:rPr>
                  </w:pPr>
                </w:p>
              </w:tc>
              <w:tc>
                <w:tcPr>
                  <w:tcW w:w="1554"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29.12</w:t>
                  </w:r>
                </w:p>
              </w:tc>
              <w:tc>
                <w:tcPr>
                  <w:tcW w:w="1199" w:type="dxa"/>
                  <w:vMerge w:val="continue"/>
                  <w:vAlign w:val="center"/>
                </w:tcPr>
                <w:p>
                  <w:pPr>
                    <w:ind w:firstLine="480"/>
                    <w:jc w:val="center"/>
                    <w:rPr>
                      <w:color w:val="000000" w:themeColor="text1"/>
                      <w14:textFill>
                        <w14:solidFill>
                          <w14:schemeClr w14:val="tx1"/>
                        </w14:solidFill>
                      </w14:textFill>
                    </w:rPr>
                  </w:pPr>
                </w:p>
              </w:tc>
            </w:tr>
          </w:tbl>
          <w:p>
            <w:pPr>
              <w:pStyle w:val="124"/>
              <w:adjustRightInd w:val="0"/>
              <w:spacing w:line="336"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 xml:space="preserve">2、监测计划 </w:t>
            </w:r>
          </w:p>
          <w:p>
            <w:pPr>
              <w:adjustRightInd w:val="0"/>
              <w:snapToGrid w:val="0"/>
              <w:spacing w:line="360" w:lineRule="auto"/>
              <w:ind w:firstLine="460" w:firstLineChars="200"/>
              <w:rPr>
                <w:color w:val="000000" w:themeColor="text1"/>
                <w:spacing w:val="-5"/>
                <w:sz w:val="24"/>
                <w:szCs w:val="21"/>
                <w14:textFill>
                  <w14:solidFill>
                    <w14:schemeClr w14:val="tx1"/>
                  </w14:solidFill>
                </w14:textFill>
              </w:rPr>
            </w:pPr>
            <w:r>
              <w:rPr>
                <w:rFonts w:hint="eastAsia"/>
                <w:color w:val="000000" w:themeColor="text1"/>
                <w:spacing w:val="-5"/>
                <w:sz w:val="24"/>
                <w:szCs w:val="21"/>
                <w14:textFill>
                  <w14:solidFill>
                    <w14:schemeClr w14:val="tx1"/>
                  </w14:solidFill>
                </w14:textFill>
              </w:rPr>
              <w:t>根据《排污单位自行监测技术指南 总则》（HJ819-2017）和</w:t>
            </w:r>
            <w:r>
              <w:rPr>
                <w:rFonts w:hint="eastAsia"/>
                <w:color w:val="000000" w:themeColor="text1"/>
                <w:kern w:val="0"/>
                <w:sz w:val="24"/>
                <w14:textFill>
                  <w14:solidFill>
                    <w14:schemeClr w14:val="tx1"/>
                  </w14:solidFill>
                </w14:textFill>
              </w:rPr>
              <w:t>《排污单位自行监测技术指南 火力发电及锅炉</w:t>
            </w: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HYPERLINK "http://kjs.mep.gov.cn/hjbhbz/bzwb/shjbh/xgbzh/201705/W020170511332490849000.pdf" </w:instrText>
            </w:r>
            <w:r>
              <w:rPr>
                <w:color w:val="000000" w:themeColor="text1"/>
                <w:kern w:val="0"/>
                <w:sz w:val="24"/>
                <w14:textFill>
                  <w14:solidFill>
                    <w14:schemeClr w14:val="tx1"/>
                  </w14:solidFill>
                </w14:textFill>
              </w:rPr>
              <w:fldChar w:fldCharType="separate"/>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HJ</w:t>
            </w:r>
            <w:r>
              <w:rPr>
                <w:rFonts w:hint="eastAsia"/>
                <w:color w:val="000000" w:themeColor="text1"/>
                <w:kern w:val="0"/>
                <w:sz w:val="24"/>
                <w14:textFill>
                  <w14:solidFill>
                    <w14:schemeClr w14:val="tx1"/>
                  </w14:solidFill>
                </w14:textFill>
              </w:rPr>
              <w:t>820-2017）</w:t>
            </w:r>
            <w:r>
              <w:rPr>
                <w:color w:val="000000" w:themeColor="text1"/>
                <w:kern w:val="0"/>
                <w:sz w:val="24"/>
                <w14:textFill>
                  <w14:solidFill>
                    <w14:schemeClr w14:val="tx1"/>
                  </w14:solidFill>
                </w14:textFill>
              </w:rPr>
              <w:fldChar w:fldCharType="end"/>
            </w:r>
            <w:r>
              <w:rPr>
                <w:rFonts w:hint="eastAsia"/>
                <w:color w:val="000000" w:themeColor="text1"/>
                <w:spacing w:val="-5"/>
                <w:sz w:val="24"/>
                <w:szCs w:val="21"/>
                <w14:textFill>
                  <w14:solidFill>
                    <w14:schemeClr w14:val="tx1"/>
                  </w14:solidFill>
                </w14:textFill>
              </w:rPr>
              <w:t>，并结合本项目的实际排污状况制定废气监测计划。</w:t>
            </w:r>
          </w:p>
          <w:p>
            <w:pPr>
              <w:ind w:firstLine="371" w:firstLineChars="176"/>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表4</w:t>
            </w:r>
            <w:r>
              <w:rPr>
                <w:rFonts w:hint="eastAsia"/>
                <w:b/>
                <w:bCs/>
                <w:color w:val="000000" w:themeColor="text1"/>
                <w:kern w:val="0"/>
                <w:sz w:val="21"/>
                <w:szCs w:val="21"/>
                <w14:textFill>
                  <w14:solidFill>
                    <w14:schemeClr w14:val="tx1"/>
                  </w14:solidFill>
                </w14:textFill>
              </w:rPr>
              <w:t>-</w:t>
            </w:r>
            <w:r>
              <w:rPr>
                <w:b/>
                <w:bCs/>
                <w:color w:val="000000" w:themeColor="text1"/>
                <w:kern w:val="0"/>
                <w:sz w:val="21"/>
                <w:szCs w:val="21"/>
                <w14:textFill>
                  <w14:solidFill>
                    <w14:schemeClr w14:val="tx1"/>
                  </w14:solidFill>
                </w14:textFill>
              </w:rPr>
              <w:t>5 本项目污染源监测计划</w:t>
            </w:r>
          </w:p>
          <w:tbl>
            <w:tblPr>
              <w:tblStyle w:val="36"/>
              <w:tblW w:w="876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012"/>
              <w:gridCol w:w="1295"/>
              <w:gridCol w:w="1403"/>
              <w:gridCol w:w="1142"/>
              <w:gridCol w:w="3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0"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排污类别</w:t>
                  </w:r>
                </w:p>
              </w:tc>
              <w:tc>
                <w:tcPr>
                  <w:tcW w:w="1295"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监测点位</w:t>
                  </w:r>
                </w:p>
              </w:tc>
              <w:tc>
                <w:tcPr>
                  <w:tcW w:w="1403"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监测指标</w:t>
                  </w:r>
                </w:p>
              </w:tc>
              <w:tc>
                <w:tcPr>
                  <w:tcW w:w="1142"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监测频次</w:t>
                  </w:r>
                </w:p>
              </w:tc>
              <w:tc>
                <w:tcPr>
                  <w:tcW w:w="3059"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8"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tc>
              <w:tc>
                <w:tcPr>
                  <w:tcW w:w="1012"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有组织</w:t>
                  </w:r>
                </w:p>
              </w:tc>
              <w:tc>
                <w:tcPr>
                  <w:tcW w:w="1295"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40</w:t>
                  </w:r>
                  <w:r>
                    <w:rPr>
                      <w:bCs/>
                      <w:color w:val="000000" w:themeColor="text1"/>
                      <w:kern w:val="0"/>
                      <w:szCs w:val="21"/>
                      <w14:textFill>
                        <w14:solidFill>
                          <w14:schemeClr w14:val="tx1"/>
                        </w14:solidFill>
                      </w14:textFill>
                    </w:rPr>
                    <w:t>m</w:t>
                  </w:r>
                  <w:r>
                    <w:rPr>
                      <w:rFonts w:hint="eastAsia"/>
                      <w:bCs/>
                      <w:color w:val="000000" w:themeColor="text1"/>
                      <w:kern w:val="0"/>
                      <w:szCs w:val="21"/>
                      <w14:textFill>
                        <w14:solidFill>
                          <w14:schemeClr w14:val="tx1"/>
                        </w14:solidFill>
                      </w14:textFill>
                    </w:rPr>
                    <w:t>高烟囱</w:t>
                  </w:r>
                </w:p>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烟道</w:t>
                  </w:r>
                </w:p>
              </w:tc>
              <w:tc>
                <w:tcPr>
                  <w:tcW w:w="1403"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二氧化硫</w:t>
                  </w:r>
                </w:p>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氮氧化物</w:t>
                  </w:r>
                </w:p>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林格曼黑度</w:t>
                  </w:r>
                </w:p>
              </w:tc>
              <w:tc>
                <w:tcPr>
                  <w:tcW w:w="1142"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每月监测</w:t>
                  </w:r>
                  <w:r>
                    <w:rPr>
                      <w:bCs/>
                      <w:color w:val="000000" w:themeColor="text1"/>
                      <w:kern w:val="0"/>
                      <w:szCs w:val="21"/>
                      <w14:textFill>
                        <w14:solidFill>
                          <w14:schemeClr w14:val="tx1"/>
                        </w14:solidFill>
                      </w14:textFill>
                    </w:rPr>
                    <w:t>1次</w:t>
                  </w:r>
                </w:p>
              </w:tc>
              <w:tc>
                <w:tcPr>
                  <w:tcW w:w="3059" w:type="dxa"/>
                  <w:vAlign w:val="center"/>
                </w:tcPr>
                <w:p>
                  <w:pPr>
                    <w:jc w:val="center"/>
                    <w:rPr>
                      <w:bCs/>
                      <w:color w:val="000000" w:themeColor="text1"/>
                      <w:szCs w:val="21"/>
                      <w14:textFill>
                        <w14:solidFill>
                          <w14:schemeClr w14:val="tx1"/>
                        </w14:solidFill>
                      </w14:textFill>
                    </w:rPr>
                  </w:pPr>
                  <w:r>
                    <w:rPr>
                      <w:rFonts w:hint="eastAsia"/>
                      <w:bCs/>
                      <w:color w:val="000000" w:themeColor="text1"/>
                      <w:kern w:val="0"/>
                      <w:szCs w:val="21"/>
                      <w14:textFill>
                        <w14:solidFill>
                          <w14:schemeClr w14:val="tx1"/>
                        </w14:solidFill>
                      </w14:textFill>
                    </w:rPr>
                    <w:t>《锅炉大气污染物排放标准》（</w:t>
                  </w:r>
                  <w:r>
                    <w:rPr>
                      <w:bCs/>
                      <w:color w:val="000000" w:themeColor="text1"/>
                      <w:kern w:val="0"/>
                      <w:szCs w:val="21"/>
                      <w14:textFill>
                        <w14:solidFill>
                          <w14:schemeClr w14:val="tx1"/>
                        </w14:solidFill>
                      </w14:textFill>
                    </w:rPr>
                    <w:t>GB13271-2014</w:t>
                  </w:r>
                  <w:r>
                    <w:rPr>
                      <w:rFonts w:hint="eastAsia"/>
                      <w:bCs/>
                      <w:color w:val="000000" w:themeColor="text1"/>
                      <w:kern w:val="0"/>
                      <w:szCs w:val="21"/>
                      <w14:textFill>
                        <w14:solidFill>
                          <w14:schemeClr w14:val="tx1"/>
                        </w14:solidFill>
                      </w14:textFill>
                    </w:rPr>
                    <w:t>）表</w:t>
                  </w:r>
                  <w:r>
                    <w:rPr>
                      <w:bCs/>
                      <w:color w:val="000000" w:themeColor="text1"/>
                      <w:kern w:val="0"/>
                      <w:szCs w:val="21"/>
                      <w14:textFill>
                        <w14:solidFill>
                          <w14:schemeClr w14:val="tx1"/>
                        </w14:solidFill>
                      </w14:textFill>
                    </w:rPr>
                    <w:t>2</w:t>
                  </w:r>
                  <w:r>
                    <w:rPr>
                      <w:rFonts w:hint="eastAsia"/>
                      <w:bCs/>
                      <w:color w:val="000000" w:themeColor="text1"/>
                      <w:kern w:val="0"/>
                      <w:szCs w:val="21"/>
                      <w14:textFill>
                        <w14:solidFill>
                          <w14:schemeClr w14:val="tx1"/>
                        </w14:solidFill>
                      </w14:textFill>
                    </w:rPr>
                    <w:t>燃煤锅炉大气污染物排放限值要求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8" w:type="dxa"/>
                  <w:vMerge w:val="continue"/>
                  <w:vAlign w:val="center"/>
                </w:tcPr>
                <w:p>
                  <w:pPr>
                    <w:jc w:val="center"/>
                    <w:rPr>
                      <w:bCs/>
                      <w:color w:val="000000" w:themeColor="text1"/>
                      <w:szCs w:val="21"/>
                      <w14:textFill>
                        <w14:solidFill>
                          <w14:schemeClr w14:val="tx1"/>
                        </w14:solidFill>
                      </w14:textFill>
                    </w:rPr>
                  </w:pPr>
                </w:p>
              </w:tc>
              <w:tc>
                <w:tcPr>
                  <w:tcW w:w="101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无组织</w:t>
                  </w:r>
                </w:p>
              </w:tc>
              <w:tc>
                <w:tcPr>
                  <w:tcW w:w="1295"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厂界上风向一个点，厂界下风向3个点</w:t>
                  </w:r>
                </w:p>
              </w:tc>
              <w:tc>
                <w:tcPr>
                  <w:tcW w:w="1403"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颗粒物</w:t>
                  </w:r>
                </w:p>
              </w:tc>
              <w:tc>
                <w:tcPr>
                  <w:tcW w:w="1142" w:type="dxa"/>
                  <w:vAlign w:val="center"/>
                </w:tcPr>
                <w:p>
                  <w:pPr>
                    <w:jc w:val="center"/>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季度</w:t>
                  </w:r>
                </w:p>
              </w:tc>
              <w:tc>
                <w:tcPr>
                  <w:tcW w:w="3059" w:type="dxa"/>
                  <w:vAlign w:val="center"/>
                </w:tcPr>
                <w:p>
                  <w:pPr>
                    <w:jc w:val="center"/>
                    <w:rPr>
                      <w:bCs/>
                      <w:color w:val="000000" w:themeColor="text1"/>
                      <w:szCs w:val="21"/>
                      <w14:textFill>
                        <w14:solidFill>
                          <w14:schemeClr w14:val="tx1"/>
                        </w14:solidFill>
                      </w14:textFill>
                    </w:rPr>
                  </w:pPr>
                  <w:r>
                    <w:rPr>
                      <w:bCs/>
                      <w:color w:val="000000" w:themeColor="text1"/>
                      <w:kern w:val="0"/>
                      <w:szCs w:val="21"/>
                      <w14:textFill>
                        <w14:solidFill>
                          <w14:schemeClr w14:val="tx1"/>
                        </w14:solidFill>
                      </w14:textFill>
                    </w:rPr>
                    <w:t>《大气污染物综合排放标准》（GB16297-1996）</w:t>
                  </w:r>
                </w:p>
              </w:tc>
            </w:tr>
          </w:tbl>
          <w:p>
            <w:pPr>
              <w:adjustRightInd w:val="0"/>
              <w:snapToGrid w:val="0"/>
              <w:spacing w:line="360" w:lineRule="auto"/>
              <w:ind w:firstLine="460" w:firstLineChars="200"/>
              <w:rPr>
                <w:color w:val="000000" w:themeColor="text1"/>
                <w:spacing w:val="-5"/>
                <w:sz w:val="24"/>
                <w:szCs w:val="21"/>
                <w14:textFill>
                  <w14:solidFill>
                    <w14:schemeClr w14:val="tx1"/>
                  </w14:solidFill>
                </w14:textFill>
              </w:rPr>
            </w:pPr>
            <w:r>
              <w:rPr>
                <w:rFonts w:hint="eastAsia"/>
                <w:color w:val="000000" w:themeColor="text1"/>
                <w:spacing w:val="-5"/>
                <w:sz w:val="24"/>
                <w:szCs w:val="21"/>
                <w14:textFill>
                  <w14:solidFill>
                    <w14:schemeClr w14:val="tx1"/>
                  </w14:solidFill>
                </w14:textFill>
              </w:rPr>
              <w:t xml:space="preserve">3、污染治理措施及环境影响分析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排污许可证申请与核发技术规范 锅炉</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w:t>
            </w:r>
            <w:r>
              <w:rPr>
                <w:rFonts w:hint="eastAsia"/>
                <w:color w:val="000000" w:themeColor="text1"/>
                <w:sz w:val="24"/>
                <w14:textFill>
                  <w14:solidFill>
                    <w14:schemeClr w14:val="tx1"/>
                  </w14:solidFill>
                </w14:textFill>
              </w:rPr>
              <w:t>953</w:t>
            </w:r>
            <w:r>
              <w:rPr>
                <w:color w:val="000000" w:themeColor="text1"/>
                <w:sz w:val="24"/>
                <w14:textFill>
                  <w14:solidFill>
                    <w14:schemeClr w14:val="tx1"/>
                  </w14:solidFill>
                </w14:textFill>
              </w:rPr>
              <w:t>-201</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的可行技术要求。详见下表。</w:t>
            </w:r>
          </w:p>
          <w:p>
            <w:pPr>
              <w:ind w:firstLine="371" w:firstLineChars="176"/>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表4-</w:t>
            </w:r>
            <w:r>
              <w:rPr>
                <w:b/>
                <w:bCs/>
                <w:color w:val="000000" w:themeColor="text1"/>
                <w:kern w:val="0"/>
                <w:sz w:val="21"/>
                <w:szCs w:val="21"/>
                <w14:textFill>
                  <w14:solidFill>
                    <w14:schemeClr w14:val="tx1"/>
                  </w14:solidFill>
                </w14:textFill>
              </w:rPr>
              <w:t>6</w:t>
            </w:r>
            <w:r>
              <w:rPr>
                <w:rFonts w:hint="eastAsia"/>
                <w:b/>
                <w:bCs/>
                <w:color w:val="000000" w:themeColor="text1"/>
                <w:kern w:val="0"/>
                <w:sz w:val="21"/>
                <w:szCs w:val="21"/>
                <w14:textFill>
                  <w14:solidFill>
                    <w14:schemeClr w14:val="tx1"/>
                  </w14:solidFill>
                </w14:textFill>
              </w:rPr>
              <w:t xml:space="preserve">  废气治理可行性技术对比表</w:t>
            </w:r>
          </w:p>
          <w:tbl>
            <w:tblPr>
              <w:tblStyle w:val="36"/>
              <w:tblW w:w="876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57"/>
              <w:gridCol w:w="742"/>
              <w:gridCol w:w="991"/>
              <w:gridCol w:w="2017"/>
              <w:gridCol w:w="2257"/>
              <w:gridCol w:w="13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生产</w:t>
                  </w:r>
                </w:p>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设施</w:t>
                  </w:r>
                </w:p>
              </w:tc>
              <w:tc>
                <w:tcPr>
                  <w:tcW w:w="757"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产污</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环节</w:t>
                  </w:r>
                </w:p>
              </w:tc>
              <w:tc>
                <w:tcPr>
                  <w:tcW w:w="742"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污染物</w:t>
                  </w:r>
                </w:p>
              </w:tc>
              <w:tc>
                <w:tcPr>
                  <w:tcW w:w="991"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排放</w:t>
                  </w:r>
                </w:p>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形式</w:t>
                  </w:r>
                </w:p>
              </w:tc>
              <w:tc>
                <w:tcPr>
                  <w:tcW w:w="2017"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排污许可证申请</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与核发技术规范</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可行性技术</w:t>
                  </w:r>
                  <w:r>
                    <w:rPr>
                      <w:rFonts w:hint="eastAsia"/>
                      <w:bCs/>
                      <w:color w:val="000000" w:themeColor="text1"/>
                      <w:szCs w:val="21"/>
                      <w14:textFill>
                        <w14:solidFill>
                          <w14:schemeClr w14:val="tx1"/>
                        </w14:solidFill>
                      </w14:textFill>
                    </w:rPr>
                    <w:t>要求</w:t>
                  </w:r>
                </w:p>
              </w:tc>
              <w:tc>
                <w:tcPr>
                  <w:tcW w:w="2257"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本项目环境</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保护措施</w:t>
                  </w:r>
                </w:p>
              </w:tc>
              <w:tc>
                <w:tcPr>
                  <w:tcW w:w="1357"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648" w:type="dxa"/>
                  <w:vMerge w:val="restart"/>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生物质</w:t>
                  </w:r>
                </w:p>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蒸汽</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锅炉</w:t>
                  </w:r>
                </w:p>
              </w:tc>
              <w:tc>
                <w:tcPr>
                  <w:tcW w:w="757"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锅炉</w:t>
                  </w:r>
                </w:p>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w:t>
                  </w:r>
                </w:p>
              </w:tc>
              <w:tc>
                <w:tcPr>
                  <w:tcW w:w="742"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颗粒物</w:t>
                  </w:r>
                </w:p>
              </w:tc>
              <w:tc>
                <w:tcPr>
                  <w:tcW w:w="991"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有组织</w:t>
                  </w:r>
                </w:p>
              </w:tc>
              <w:tc>
                <w:tcPr>
                  <w:tcW w:w="2017"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旋风除尘和袋式除尘组合技术</w:t>
                  </w:r>
                </w:p>
              </w:tc>
              <w:tc>
                <w:tcPr>
                  <w:tcW w:w="2257"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旋风+布袋除尘器处理后经</w:t>
                  </w:r>
                  <w:r>
                    <w:rPr>
                      <w:rFonts w:hint="eastAsia"/>
                      <w:bCs/>
                      <w:color w:val="000000" w:themeColor="text1"/>
                      <w:szCs w:val="21"/>
                      <w:lang w:val="en-US" w:eastAsia="zh-CN"/>
                      <w14:textFill>
                        <w14:solidFill>
                          <w14:schemeClr w14:val="tx1"/>
                        </w14:solidFill>
                      </w14:textFill>
                    </w:rPr>
                    <w:t>40</w:t>
                  </w:r>
                  <w:r>
                    <w:rPr>
                      <w:rFonts w:hint="eastAsia"/>
                      <w:bCs/>
                      <w:color w:val="000000" w:themeColor="text1"/>
                      <w:szCs w:val="21"/>
                      <w14:textFill>
                        <w14:solidFill>
                          <w14:schemeClr w14:val="tx1"/>
                        </w14:solidFill>
                      </w14:textFill>
                    </w:rPr>
                    <w:t>m高烟囱排放</w:t>
                  </w:r>
                </w:p>
              </w:tc>
              <w:tc>
                <w:tcPr>
                  <w:tcW w:w="1357"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648" w:type="dxa"/>
                  <w:vMerge w:val="continue"/>
                  <w:noWrap/>
                  <w:vAlign w:val="center"/>
                </w:tcPr>
                <w:p>
                  <w:pPr>
                    <w:jc w:val="center"/>
                    <w:rPr>
                      <w:bCs/>
                      <w:color w:val="000000" w:themeColor="text1"/>
                      <w:szCs w:val="21"/>
                      <w14:textFill>
                        <w14:solidFill>
                          <w14:schemeClr w14:val="tx1"/>
                        </w14:solidFill>
                      </w14:textFill>
                    </w:rPr>
                  </w:pPr>
                </w:p>
              </w:tc>
              <w:tc>
                <w:tcPr>
                  <w:tcW w:w="757" w:type="dxa"/>
                  <w:noWrap/>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锅炉</w:t>
                  </w:r>
                </w:p>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w:t>
                  </w:r>
                </w:p>
              </w:tc>
              <w:tc>
                <w:tcPr>
                  <w:tcW w:w="742"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氮氧化物</w:t>
                  </w:r>
                </w:p>
              </w:tc>
              <w:tc>
                <w:tcPr>
                  <w:tcW w:w="991"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有组织</w:t>
                  </w:r>
                </w:p>
              </w:tc>
              <w:tc>
                <w:tcPr>
                  <w:tcW w:w="2017"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低氨燃烧技术、低氨燃烧+SNCR脱硝技术、低氮燃烧+SCR 脱硝技术、低氨燃烧+</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SNCR-SCR联合）脱硝技术、SNCR脱硝技术、SCR脱硝技术、SNCR-SCR联合脱硝技术</w:t>
                  </w:r>
                </w:p>
              </w:tc>
              <w:tc>
                <w:tcPr>
                  <w:tcW w:w="2257"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低氮燃烧技术</w:t>
                  </w:r>
                </w:p>
              </w:tc>
              <w:tc>
                <w:tcPr>
                  <w:tcW w:w="1357" w:type="dxa"/>
                  <w:noWrap/>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是</w:t>
                  </w:r>
                </w:p>
              </w:tc>
            </w:tr>
          </w:tbl>
          <w:p>
            <w:pPr>
              <w:adjustRightInd w:val="0"/>
              <w:snapToGrid w:val="0"/>
              <w:spacing w:line="360" w:lineRule="auto"/>
              <w:ind w:firstLine="460" w:firstLineChars="200"/>
              <w:rPr>
                <w:color w:val="000000" w:themeColor="text1"/>
                <w:spacing w:val="-5"/>
                <w:sz w:val="24"/>
                <w:szCs w:val="21"/>
                <w14:textFill>
                  <w14:solidFill>
                    <w14:schemeClr w14:val="tx1"/>
                  </w14:solidFill>
                </w14:textFill>
              </w:rPr>
            </w:pPr>
            <w:r>
              <w:rPr>
                <w:rFonts w:hint="eastAsia"/>
                <w:color w:val="000000" w:themeColor="text1"/>
                <w:spacing w:val="-5"/>
                <w:sz w:val="24"/>
                <w:szCs w:val="21"/>
                <w14:textFill>
                  <w14:solidFill>
                    <w14:schemeClr w14:val="tx1"/>
                  </w14:solidFill>
                </w14:textFill>
              </w:rPr>
              <w:t>本项目</w:t>
            </w:r>
            <w:r>
              <w:rPr>
                <w:color w:val="000000" w:themeColor="text1"/>
                <w:spacing w:val="-5"/>
                <w:sz w:val="24"/>
                <w:szCs w:val="21"/>
                <w14:textFill>
                  <w14:solidFill>
                    <w14:schemeClr w14:val="tx1"/>
                  </w14:solidFill>
                </w14:textFill>
              </w:rPr>
              <w:t>锅炉</w:t>
            </w:r>
            <w:r>
              <w:rPr>
                <w:rFonts w:hint="eastAsia"/>
                <w:color w:val="000000" w:themeColor="text1"/>
                <w:spacing w:val="-5"/>
                <w:sz w:val="24"/>
                <w:szCs w:val="21"/>
                <w14:textFill>
                  <w14:solidFill>
                    <w14:schemeClr w14:val="tx1"/>
                  </w14:solidFill>
                </w14:textFill>
              </w:rPr>
              <w:t>采用低氮燃烧技术，</w:t>
            </w:r>
            <w:r>
              <w:rPr>
                <w:color w:val="000000" w:themeColor="text1"/>
                <w:spacing w:val="-5"/>
                <w:sz w:val="24"/>
                <w:szCs w:val="21"/>
                <w14:textFill>
                  <w14:solidFill>
                    <w14:schemeClr w14:val="tx1"/>
                  </w14:solidFill>
                </w14:textFill>
              </w:rPr>
              <w:t>烟气经</w:t>
            </w:r>
            <w:r>
              <w:rPr>
                <w:rFonts w:hint="eastAsia"/>
                <w:color w:val="000000" w:themeColor="text1"/>
                <w:spacing w:val="-5"/>
                <w:sz w:val="24"/>
                <w:szCs w:val="21"/>
                <w14:textFill>
                  <w14:solidFill>
                    <w14:schemeClr w14:val="tx1"/>
                  </w14:solidFill>
                </w14:textFill>
              </w:rPr>
              <w:t>旋风+布袋除尘器</w:t>
            </w:r>
            <w:r>
              <w:rPr>
                <w:color w:val="000000" w:themeColor="text1"/>
                <w:spacing w:val="-5"/>
                <w:sz w:val="24"/>
                <w:szCs w:val="21"/>
                <w14:textFill>
                  <w14:solidFill>
                    <w14:schemeClr w14:val="tx1"/>
                  </w14:solidFill>
                </w14:textFill>
              </w:rPr>
              <w:t>（除尘效率</w:t>
            </w:r>
            <w:r>
              <w:rPr>
                <w:rFonts w:hint="eastAsia"/>
                <w:color w:val="000000" w:themeColor="text1"/>
                <w:spacing w:val="-5"/>
                <w:sz w:val="24"/>
                <w:szCs w:val="21"/>
                <w14:textFill>
                  <w14:solidFill>
                    <w14:schemeClr w14:val="tx1"/>
                  </w14:solidFill>
                </w14:textFill>
              </w:rPr>
              <w:t>按</w:t>
            </w:r>
            <w:r>
              <w:rPr>
                <w:color w:val="000000" w:themeColor="text1"/>
                <w:spacing w:val="-5"/>
                <w:sz w:val="24"/>
                <w:szCs w:val="21"/>
                <w14:textFill>
                  <w14:solidFill>
                    <w14:schemeClr w14:val="tx1"/>
                  </w14:solidFill>
                </w14:textFill>
              </w:rPr>
              <w:t>99.7%</w:t>
            </w:r>
            <w:r>
              <w:rPr>
                <w:rFonts w:hint="eastAsia"/>
                <w:color w:val="000000" w:themeColor="text1"/>
                <w:spacing w:val="-5"/>
                <w:sz w:val="24"/>
                <w:szCs w:val="21"/>
                <w14:textFill>
                  <w14:solidFill>
                    <w14:schemeClr w14:val="tx1"/>
                  </w14:solidFill>
                </w14:textFill>
              </w:rPr>
              <w:t>计</w:t>
            </w:r>
            <w:r>
              <w:rPr>
                <w:color w:val="000000" w:themeColor="text1"/>
                <w:spacing w:val="-5"/>
                <w:sz w:val="24"/>
                <w:szCs w:val="21"/>
                <w14:textFill>
                  <w14:solidFill>
                    <w14:schemeClr w14:val="tx1"/>
                  </w14:solidFill>
                </w14:textFill>
              </w:rPr>
              <w:t>）处理后由</w:t>
            </w:r>
            <w:r>
              <w:rPr>
                <w:rFonts w:hint="eastAsia"/>
                <w:color w:val="000000" w:themeColor="text1"/>
                <w:spacing w:val="-5"/>
                <w:sz w:val="24"/>
                <w:szCs w:val="21"/>
                <w:lang w:val="en-US" w:eastAsia="zh-CN"/>
                <w14:textFill>
                  <w14:solidFill>
                    <w14:schemeClr w14:val="tx1"/>
                  </w14:solidFill>
                </w14:textFill>
              </w:rPr>
              <w:t>4</w:t>
            </w:r>
            <w:r>
              <w:rPr>
                <w:color w:val="000000" w:themeColor="text1"/>
                <w:spacing w:val="-5"/>
                <w:sz w:val="24"/>
                <w:szCs w:val="21"/>
                <w14:textFill>
                  <w14:solidFill>
                    <w14:schemeClr w14:val="tx1"/>
                  </w14:solidFill>
                </w14:textFill>
              </w:rPr>
              <w:t>0m高烟囱排放</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符合《排污许可证申请与核发技术规范 锅炉》（HJ</w:t>
            </w:r>
            <w:r>
              <w:rPr>
                <w:rFonts w:hint="eastAsia"/>
                <w:bCs/>
                <w:color w:val="000000" w:themeColor="text1"/>
                <w:sz w:val="24"/>
                <w14:textFill>
                  <w14:solidFill>
                    <w14:schemeClr w14:val="tx1"/>
                  </w14:solidFill>
                </w14:textFill>
              </w:rPr>
              <w:t>953-2018</w:t>
            </w:r>
            <w:r>
              <w:rPr>
                <w:bCs/>
                <w:color w:val="000000" w:themeColor="text1"/>
                <w:sz w:val="24"/>
                <w14:textFill>
                  <w14:solidFill>
                    <w14:schemeClr w14:val="tx1"/>
                  </w14:solidFill>
                </w14:textFill>
              </w:rPr>
              <w:t>）中的措施要求</w:t>
            </w:r>
            <w:r>
              <w:rPr>
                <w:rFonts w:hint="eastAsia"/>
                <w:color w:val="000000" w:themeColor="text1"/>
                <w:sz w:val="24"/>
                <w14:textFill>
                  <w14:solidFill>
                    <w14:schemeClr w14:val="tx1"/>
                  </w14:solidFill>
                </w14:textFill>
              </w:rPr>
              <w:t>。</w:t>
            </w:r>
            <w:r>
              <w:rPr>
                <w:rFonts w:hint="eastAsia"/>
                <w:color w:val="000000" w:themeColor="text1"/>
                <w:spacing w:val="-5"/>
                <w:sz w:val="24"/>
                <w:szCs w:val="21"/>
                <w14:textFill>
                  <w14:solidFill>
                    <w14:schemeClr w14:val="tx1"/>
                  </w14:solidFill>
                </w14:textFill>
              </w:rPr>
              <w:t>因此，属于可行性技术。同时根据</w:t>
            </w:r>
            <w:r>
              <w:rPr>
                <w:color w:val="000000" w:themeColor="text1"/>
                <w:kern w:val="0"/>
                <w:sz w:val="24"/>
                <w:u w:color="000000"/>
                <w14:textFill>
                  <w14:solidFill>
                    <w14:schemeClr w14:val="tx1"/>
                  </w14:solidFill>
                </w14:textFill>
              </w:rPr>
              <w:t>《</w:t>
            </w:r>
            <w:r>
              <w:rPr>
                <w:rFonts w:hint="eastAsia"/>
                <w:color w:val="000000" w:themeColor="text1"/>
                <w:kern w:val="0"/>
                <w:sz w:val="24"/>
                <w:u w:color="000000"/>
                <w14:textFill>
                  <w14:solidFill>
                    <w14:schemeClr w14:val="tx1"/>
                  </w14:solidFill>
                </w14:textFill>
              </w:rPr>
              <w:t>锅炉</w:t>
            </w:r>
            <w:r>
              <w:rPr>
                <w:color w:val="000000" w:themeColor="text1"/>
                <w:kern w:val="0"/>
                <w:sz w:val="24"/>
                <w:u w:color="000000"/>
                <w14:textFill>
                  <w14:solidFill>
                    <w14:schemeClr w14:val="tx1"/>
                  </w14:solidFill>
                </w14:textFill>
              </w:rPr>
              <w:t>大气污染物排放标准》</w:t>
            </w:r>
            <w:r>
              <w:rPr>
                <w:rFonts w:hint="eastAsia"/>
                <w:color w:val="000000" w:themeColor="text1"/>
                <w:kern w:val="0"/>
                <w:sz w:val="24"/>
                <w:u w:color="000000"/>
                <w14:textFill>
                  <w14:solidFill>
                    <w14:schemeClr w14:val="tx1"/>
                  </w14:solidFill>
                </w14:textFill>
              </w:rPr>
              <w:t>（</w:t>
            </w:r>
            <w:r>
              <w:rPr>
                <w:color w:val="000000" w:themeColor="text1"/>
                <w:kern w:val="0"/>
                <w:sz w:val="24"/>
                <w:u w:color="000000"/>
                <w14:textFill>
                  <w14:solidFill>
                    <w14:schemeClr w14:val="tx1"/>
                  </w14:solidFill>
                </w14:textFill>
              </w:rPr>
              <w:t>GB13271-2014</w:t>
            </w:r>
            <w:r>
              <w:rPr>
                <w:rFonts w:hint="eastAsia"/>
                <w:color w:val="000000" w:themeColor="text1"/>
                <w:kern w:val="0"/>
                <w:sz w:val="24"/>
                <w:u w:color="000000"/>
                <w14:textFill>
                  <w14:solidFill>
                    <w14:schemeClr w14:val="tx1"/>
                  </w14:solidFill>
                </w14:textFill>
              </w:rPr>
              <w:t>）要求，参照燃煤锅炉装机容量（</w:t>
            </w:r>
            <w:r>
              <w:rPr>
                <w:rFonts w:hint="eastAsia"/>
                <w:color w:val="000000" w:themeColor="text1"/>
                <w:kern w:val="0"/>
                <w:sz w:val="24"/>
                <w:u w:color="000000"/>
                <w:lang w:val="en-US" w:eastAsia="zh-CN"/>
                <w14:textFill>
                  <w14:solidFill>
                    <w14:schemeClr w14:val="tx1"/>
                  </w14:solidFill>
                </w14:textFill>
              </w:rPr>
              <w:t>7</w:t>
            </w:r>
            <w:r>
              <w:rPr>
                <w:rFonts w:hint="eastAsia"/>
                <w:color w:val="000000" w:themeColor="text1"/>
                <w:kern w:val="0"/>
                <w:sz w:val="24"/>
                <w:u w:color="000000"/>
                <w14:textFill>
                  <w14:solidFill>
                    <w14:schemeClr w14:val="tx1"/>
                  </w14:solidFill>
                </w14:textFill>
              </w:rPr>
              <w:t>-</w:t>
            </w:r>
            <w:r>
              <w:rPr>
                <w:rFonts w:hint="eastAsia"/>
                <w:color w:val="000000" w:themeColor="text1"/>
                <w:kern w:val="0"/>
                <w:sz w:val="24"/>
                <w:u w:color="000000"/>
                <w:lang w:val="en-US" w:eastAsia="zh-CN"/>
                <w14:textFill>
                  <w14:solidFill>
                    <w14:schemeClr w14:val="tx1"/>
                  </w14:solidFill>
                </w14:textFill>
              </w:rPr>
              <w:t>1</w:t>
            </w:r>
            <w:r>
              <w:rPr>
                <w:rFonts w:hint="eastAsia"/>
                <w:color w:val="000000" w:themeColor="text1"/>
                <w:kern w:val="0"/>
                <w:sz w:val="24"/>
                <w:u w:color="000000"/>
                <w14:textFill>
                  <w14:solidFill>
                    <w14:schemeClr w14:val="tx1"/>
                  </w14:solidFill>
                </w14:textFill>
              </w:rPr>
              <w:t>4）</w:t>
            </w:r>
            <w:r>
              <w:rPr>
                <w:rFonts w:hint="eastAsia"/>
                <w:color w:val="000000" w:themeColor="text1"/>
                <w:kern w:val="0"/>
                <w:sz w:val="24"/>
                <w:u w:color="000000"/>
                <w:lang w:val="en-US" w:eastAsia="zh-CN"/>
                <w14:textFill>
                  <w14:solidFill>
                    <w14:schemeClr w14:val="tx1"/>
                  </w14:solidFill>
                </w14:textFill>
              </w:rPr>
              <w:t>MW</w:t>
            </w:r>
            <w:r>
              <w:rPr>
                <w:rFonts w:hint="eastAsia"/>
                <w:color w:val="000000" w:themeColor="text1"/>
                <w:kern w:val="0"/>
                <w:sz w:val="24"/>
                <w:u w:color="000000"/>
                <w14:textFill>
                  <w14:solidFill>
                    <w14:schemeClr w14:val="tx1"/>
                  </w14:solidFill>
                </w14:textFill>
              </w:rPr>
              <w:t>，烟囱最低允许高度为</w:t>
            </w:r>
            <w:r>
              <w:rPr>
                <w:rFonts w:hint="eastAsia"/>
                <w:color w:val="000000" w:themeColor="text1"/>
                <w:kern w:val="0"/>
                <w:sz w:val="24"/>
                <w:u w:color="000000"/>
                <w:lang w:val="en-US" w:eastAsia="zh-CN"/>
                <w14:textFill>
                  <w14:solidFill>
                    <w14:schemeClr w14:val="tx1"/>
                  </w14:solidFill>
                </w14:textFill>
              </w:rPr>
              <w:t>40</w:t>
            </w:r>
            <w:r>
              <w:rPr>
                <w:rFonts w:hint="eastAsia"/>
                <w:color w:val="000000" w:themeColor="text1"/>
                <w:kern w:val="0"/>
                <w:sz w:val="24"/>
                <w:u w:color="000000"/>
                <w14:textFill>
                  <w14:solidFill>
                    <w14:schemeClr w14:val="tx1"/>
                  </w14:solidFill>
                </w14:textFill>
              </w:rPr>
              <w:t>m，当烟囱（或排气筒）周围半径200m距离内有建筑物时，应高出最高建筑物3m以上，本项目</w:t>
            </w:r>
            <w:r>
              <w:rPr>
                <w:rFonts w:hint="eastAsia"/>
                <w:color w:val="000000" w:themeColor="text1"/>
                <w:kern w:val="0"/>
                <w:sz w:val="24"/>
                <w:u w:color="000000"/>
                <w:lang w:val="en-US" w:eastAsia="zh-CN"/>
                <w14:textFill>
                  <w14:solidFill>
                    <w14:schemeClr w14:val="tx1"/>
                  </w14:solidFill>
                </w14:textFill>
              </w:rPr>
              <w:t>烟囱</w:t>
            </w:r>
            <w:r>
              <w:rPr>
                <w:rFonts w:hint="eastAsia"/>
                <w:color w:val="000000" w:themeColor="text1"/>
                <w:kern w:val="0"/>
                <w:sz w:val="24"/>
                <w:u w:color="000000"/>
                <w14:textFill>
                  <w14:solidFill>
                    <w14:schemeClr w14:val="tx1"/>
                  </w14:solidFill>
                </w14:textFill>
              </w:rPr>
              <w:t>高度</w:t>
            </w:r>
            <w:r>
              <w:rPr>
                <w:rFonts w:hint="eastAsia"/>
                <w:color w:val="000000" w:themeColor="text1"/>
                <w:kern w:val="0"/>
                <w:sz w:val="24"/>
                <w:u w:color="000000"/>
                <w:lang w:val="en-US" w:eastAsia="zh-CN"/>
                <w14:textFill>
                  <w14:solidFill>
                    <w14:schemeClr w14:val="tx1"/>
                  </w14:solidFill>
                </w14:textFill>
              </w:rPr>
              <w:t>40</w:t>
            </w:r>
            <w:r>
              <w:rPr>
                <w:rFonts w:hint="eastAsia"/>
                <w:color w:val="000000" w:themeColor="text1"/>
                <w:kern w:val="0"/>
                <w:sz w:val="24"/>
                <w:u w:color="000000"/>
                <w14:textFill>
                  <w14:solidFill>
                    <w14:schemeClr w14:val="tx1"/>
                  </w14:solidFill>
                </w14:textFill>
              </w:rPr>
              <w:t>m，周边200米范围内建筑最高高度远小于</w:t>
            </w:r>
            <w:r>
              <w:rPr>
                <w:rFonts w:hint="eastAsia"/>
                <w:color w:val="000000" w:themeColor="text1"/>
                <w:kern w:val="0"/>
                <w:sz w:val="24"/>
                <w:u w:color="000000"/>
                <w:lang w:val="en-US" w:eastAsia="zh-CN"/>
                <w14:textFill>
                  <w14:solidFill>
                    <w14:schemeClr w14:val="tx1"/>
                  </w14:solidFill>
                </w14:textFill>
              </w:rPr>
              <w:t>37</w:t>
            </w:r>
            <w:r>
              <w:rPr>
                <w:rFonts w:hint="eastAsia"/>
                <w:color w:val="000000" w:themeColor="text1"/>
                <w:kern w:val="0"/>
                <w:sz w:val="24"/>
                <w:u w:color="000000"/>
                <w14:textFill>
                  <w14:solidFill>
                    <w14:schemeClr w14:val="tx1"/>
                  </w14:solidFill>
                </w14:textFill>
              </w:rPr>
              <w:t>m，因此本项目符合排气筒设置规范。</w:t>
            </w:r>
          </w:p>
          <w:p>
            <w:pPr>
              <w:pStyle w:val="124"/>
              <w:adjustRightInd w:val="0"/>
              <w:spacing w:line="336" w:lineRule="auto"/>
              <w:ind w:firstLine="460"/>
              <w:rPr>
                <w:color w:val="000000" w:themeColor="text1"/>
                <w:sz w:val="24"/>
                <w14:textFill>
                  <w14:solidFill>
                    <w14:schemeClr w14:val="tx1"/>
                  </w14:solidFill>
                </w14:textFill>
              </w:rPr>
            </w:pPr>
            <w:r>
              <w:rPr>
                <w:color w:val="000000" w:themeColor="text1"/>
                <w:spacing w:val="-5"/>
                <w:sz w:val="24"/>
                <w:szCs w:val="21"/>
                <w14:textFill>
                  <w14:solidFill>
                    <w14:schemeClr w14:val="tx1"/>
                  </w14:solidFill>
                </w14:textFill>
              </w:rPr>
              <w:t>综上所述，本项目采取的污染防治措施是可行的，产生的大气污染物经上述污染防治措施处理后对周围环境产生的影响较小，可以接受</w:t>
            </w:r>
            <w:r>
              <w:rPr>
                <w:rFonts w:hint="eastAsia"/>
                <w:color w:val="000000" w:themeColor="text1"/>
                <w:spacing w:val="-5"/>
                <w:sz w:val="24"/>
                <w:szCs w:val="21"/>
                <w14:textFill>
                  <w14:solidFill>
                    <w14:schemeClr w14:val="tx1"/>
                  </w14:solidFill>
                </w14:textFill>
              </w:rPr>
              <w:t>。</w:t>
            </w:r>
          </w:p>
          <w:p>
            <w:pPr>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2、废水</w:t>
            </w:r>
          </w:p>
          <w:p>
            <w:pPr>
              <w:pStyle w:val="132"/>
              <w:spacing w:line="360" w:lineRule="auto"/>
              <w:ind w:firstLine="4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（1）废水产生情况</w:t>
            </w:r>
          </w:p>
          <w:p>
            <w:pPr>
              <w:pStyle w:val="132"/>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废水主要为生活污水和锅炉系统排污水。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本项目生活污水</w:t>
            </w:r>
            <w:r>
              <w:rPr>
                <w:rFonts w:hint="eastAsia"/>
                <w:color w:val="auto"/>
                <w:sz w:val="24"/>
                <w:szCs w:val="24"/>
                <w:highlight w:val="none"/>
                <w:lang w:val="en-US" w:eastAsia="zh-CN"/>
              </w:rPr>
              <w:t>排入市政管网，</w:t>
            </w:r>
            <w:r>
              <w:rPr>
                <w:rFonts w:hint="default" w:ascii="Times New Roman" w:hAnsi="Times New Roman" w:eastAsia="宋体" w:cs="Times New Roman"/>
                <w:color w:val="auto"/>
                <w:sz w:val="24"/>
                <w:szCs w:val="24"/>
                <w:highlight w:val="none"/>
                <w:lang w:val="en-US" w:eastAsia="zh-CN"/>
              </w:rPr>
              <w:t>排水系数按用水量的80%计算，</w:t>
            </w:r>
            <w:r>
              <w:rPr>
                <w:rFonts w:hint="eastAsia"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lang w:val="en-US" w:eastAsia="zh-CN"/>
              </w:rPr>
              <w:t>生活污水产生量为</w:t>
            </w:r>
            <w:r>
              <w:rPr>
                <w:rFonts w:hint="eastAsia" w:cs="Times New Roman"/>
                <w:color w:val="auto"/>
                <w:sz w:val="24"/>
                <w:szCs w:val="24"/>
                <w:highlight w:val="none"/>
                <w:lang w:val="en-US" w:eastAsia="zh-CN"/>
              </w:rPr>
              <w:t>0.192</w:t>
            </w:r>
            <w:r>
              <w:rPr>
                <w:rFonts w:hint="eastAsia" w:ascii="Times New Roman" w:hAnsi="Times New Roman" w:cs="Times New Roman"/>
                <w:color w:val="auto"/>
                <w:sz w:val="24"/>
                <w:szCs w:val="24"/>
                <w:highlight w:val="none"/>
                <w:lang w:eastAsia="zh-CN"/>
              </w:rPr>
              <w:t>t</w:t>
            </w:r>
            <w:r>
              <w:rPr>
                <w:rFonts w:hint="default" w:ascii="Times New Roman" w:hAnsi="Times New Roman"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40.32</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en-US" w:eastAsia="zh-CN"/>
              </w:rPr>
              <w:t>/a</w:t>
            </w:r>
            <w:r>
              <w:rPr>
                <w:rFonts w:hint="eastAsia"/>
                <w:color w:val="auto"/>
                <w:sz w:val="24"/>
                <w:szCs w:val="24"/>
                <w:highlight w:val="none"/>
                <w:lang w:val="en-US" w:eastAsia="zh-CN"/>
              </w:rPr>
              <w:t>。</w:t>
            </w:r>
          </w:p>
          <w:p>
            <w:pPr>
              <w:pStyle w:val="13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排放源统计调查产排污核算方法和系数手册》中“4430工业锅炉（热力供应）行业系数手册”中产污系数</w:t>
            </w:r>
            <w:r>
              <w:rPr>
                <w:color w:val="000000" w:themeColor="text1"/>
                <w:sz w:val="24"/>
                <w14:textFill>
                  <w14:solidFill>
                    <w14:schemeClr w14:val="tx1"/>
                  </w14:solidFill>
                </w14:textFill>
              </w:rPr>
              <w:t>，燃生物质锅炉（锅</w:t>
            </w:r>
            <w:r>
              <w:rPr>
                <w:rFonts w:hint="eastAsia"/>
                <w:color w:val="000000" w:themeColor="text1"/>
                <w:sz w:val="24"/>
                <w14:textFill>
                  <w14:solidFill>
                    <w14:schemeClr w14:val="tx1"/>
                  </w14:solidFill>
                </w14:textFill>
              </w:rPr>
              <w:t>内</w:t>
            </w:r>
            <w:r>
              <w:rPr>
                <w:color w:val="000000" w:themeColor="text1"/>
                <w:sz w:val="24"/>
                <w14:textFill>
                  <w14:solidFill>
                    <w14:schemeClr w14:val="tx1"/>
                  </w14:solidFill>
                </w14:textFill>
              </w:rPr>
              <w:t>水处理）</w:t>
            </w:r>
            <w:r>
              <w:rPr>
                <w:rFonts w:hint="eastAsia"/>
                <w:color w:val="000000" w:themeColor="text1"/>
                <w:sz w:val="24"/>
                <w14:textFill>
                  <w14:solidFill>
                    <w14:schemeClr w14:val="tx1"/>
                  </w14:solidFill>
                </w14:textFill>
              </w:rPr>
              <w:t>废水产生系数为</w:t>
            </w:r>
            <w:r>
              <w:rPr>
                <w:color w:val="000000" w:themeColor="text1"/>
                <w:sz w:val="24"/>
                <w14:textFill>
                  <w14:solidFill>
                    <w14:schemeClr w14:val="tx1"/>
                  </w14:solidFill>
                </w14:textFill>
              </w:rPr>
              <w:t>0.</w:t>
            </w:r>
            <w:r>
              <w:rPr>
                <w:rFonts w:hint="eastAsia"/>
                <w:color w:val="000000" w:themeColor="text1"/>
                <w:sz w:val="24"/>
                <w14:textFill>
                  <w14:solidFill>
                    <w14:schemeClr w14:val="tx1"/>
                  </w14:solidFill>
                </w14:textFill>
              </w:rPr>
              <w:t>259</w:t>
            </w:r>
            <w:r>
              <w:rPr>
                <w:color w:val="000000" w:themeColor="text1"/>
                <w:sz w:val="24"/>
                <w14:textFill>
                  <w14:solidFill>
                    <w14:schemeClr w14:val="tx1"/>
                  </w14:solidFill>
                </w14:textFill>
              </w:rPr>
              <w:t>吨/吨-原料，</w:t>
            </w:r>
            <w:r>
              <w:rPr>
                <w:color w:val="000000" w:themeColor="text1"/>
                <w:kern w:val="0"/>
                <w:sz w:val="24"/>
                <w14:textFill>
                  <w14:solidFill>
                    <w14:schemeClr w14:val="tx1"/>
                  </w14:solidFill>
                </w14:textFill>
              </w:rPr>
              <w:t>COD产生系数为</w:t>
            </w:r>
            <w:r>
              <w:rPr>
                <w:rFonts w:hint="eastAsia"/>
                <w:color w:val="000000" w:themeColor="text1"/>
                <w:kern w:val="0"/>
                <w:sz w:val="24"/>
                <w:lang w:val="en-US" w:eastAsia="zh-CN"/>
                <w14:textFill>
                  <w14:solidFill>
                    <w14:schemeClr w14:val="tx1"/>
                  </w14:solidFill>
                </w14:textFill>
              </w:rPr>
              <w:t>2</w:t>
            </w:r>
            <w:r>
              <w:rPr>
                <w:color w:val="000000" w:themeColor="text1"/>
                <w:kern w:val="0"/>
                <w:sz w:val="24"/>
                <w14:textFill>
                  <w14:solidFill>
                    <w14:schemeClr w14:val="tx1"/>
                  </w14:solidFill>
                </w14:textFill>
              </w:rPr>
              <w:t>0克/吨-原料，</w:t>
            </w:r>
            <w:r>
              <w:rPr>
                <w:color w:val="000000" w:themeColor="text1"/>
                <w:sz w:val="24"/>
                <w14:textFill>
                  <w14:solidFill>
                    <w14:schemeClr w14:val="tx1"/>
                  </w14:solidFill>
                </w14:textFill>
              </w:rPr>
              <w:t>本项目生物质成型燃料使用量为</w:t>
            </w:r>
            <w:r>
              <w:rPr>
                <w:rFonts w:hint="eastAsia" w:hAnsi="宋体" w:cs="Times New Roman"/>
                <w:b w:val="0"/>
                <w:bCs w:val="0"/>
                <w:color w:val="000000" w:themeColor="text1"/>
                <w:kern w:val="2"/>
                <w:sz w:val="24"/>
                <w:szCs w:val="24"/>
                <w:lang w:val="en-US" w:eastAsia="zh-CN" w:bidi="ar-SA"/>
                <w14:textFill>
                  <w14:solidFill>
                    <w14:schemeClr w14:val="tx1"/>
                  </w14:solidFill>
                </w14:textFill>
              </w:rPr>
              <w:t>4743.2</w:t>
            </w:r>
            <w:r>
              <w:rPr>
                <w:rFonts w:hint="eastAsia" w:hAnsi="宋体" w:cs="Times New Roman"/>
                <w:b w:val="0"/>
                <w:bCs w:val="0"/>
                <w:color w:val="000000" w:themeColor="text1"/>
                <w:kern w:val="2"/>
                <w:sz w:val="24"/>
                <w:szCs w:val="24"/>
                <w:highlight w:val="none"/>
                <w:lang w:val="en-US" w:eastAsia="zh-CN" w:bidi="ar-SA"/>
                <w14:textFill>
                  <w14:solidFill>
                    <w14:schemeClr w14:val="tx1"/>
                  </w14:solidFill>
                </w14:textFill>
              </w:rPr>
              <w:t>8</w:t>
            </w:r>
            <w:r>
              <w:rPr>
                <w:color w:val="000000" w:themeColor="text1"/>
                <w:sz w:val="24"/>
                <w:highlight w:val="none"/>
                <w14:textFill>
                  <w14:solidFill>
                    <w14:schemeClr w14:val="tx1"/>
                  </w14:solidFill>
                </w14:textFill>
              </w:rPr>
              <w:t>t/a，则锅炉排污水总的产生量为</w:t>
            </w:r>
            <w:r>
              <w:rPr>
                <w:rFonts w:hint="eastAsia"/>
                <w:color w:val="000000" w:themeColor="text1"/>
                <w:sz w:val="24"/>
                <w:highlight w:val="none"/>
                <w:lang w:val="en-US" w:eastAsia="zh-CN"/>
                <w14:textFill>
                  <w14:solidFill>
                    <w14:schemeClr w14:val="tx1"/>
                  </w14:solidFill>
                </w14:textFill>
              </w:rPr>
              <w:t>5.85</w:t>
            </w:r>
            <w:r>
              <w:rPr>
                <w:rFonts w:hint="eastAsia"/>
                <w:color w:val="000000" w:themeColor="text1"/>
                <w:sz w:val="24"/>
                <w:highlight w:val="none"/>
                <w14:textFill>
                  <w14:solidFill>
                    <w14:schemeClr w14:val="tx1"/>
                  </w14:solidFill>
                </w14:textFill>
              </w:rPr>
              <w:t>t/d，</w:t>
            </w:r>
            <w:r>
              <w:rPr>
                <w:rFonts w:hint="eastAsia"/>
                <w:color w:val="000000" w:themeColor="text1"/>
                <w:kern w:val="0"/>
                <w:sz w:val="24"/>
                <w:highlight w:val="none"/>
                <w:lang w:val="en-US" w:eastAsia="zh-CN"/>
                <w14:textFill>
                  <w14:solidFill>
                    <w14:schemeClr w14:val="tx1"/>
                  </w14:solidFill>
                </w14:textFill>
              </w:rPr>
              <w:t>1228.51</w:t>
            </w:r>
            <w:r>
              <w:rPr>
                <w:color w:val="000000" w:themeColor="text1"/>
                <w:sz w:val="24"/>
                <w:highlight w:val="none"/>
                <w14:textFill>
                  <w14:solidFill>
                    <w14:schemeClr w14:val="tx1"/>
                  </w14:solidFill>
                </w14:textFill>
              </w:rPr>
              <w:t>t/a</w:t>
            </w:r>
            <w:r>
              <w:rPr>
                <w:rFonts w:hint="eastAsia"/>
                <w:color w:val="000000" w:themeColor="text1"/>
                <w:sz w:val="24"/>
                <w:highlight w:val="none"/>
                <w:lang w:eastAsia="zh-CN"/>
                <w14:textFill>
                  <w14:solidFill>
                    <w14:schemeClr w14:val="tx1"/>
                  </w14:solidFill>
                </w14:textFill>
              </w:rPr>
              <w:t>，</w:t>
            </w:r>
            <w:r>
              <w:rPr>
                <w:color w:val="000000" w:themeColor="text1"/>
                <w:kern w:val="0"/>
                <w:sz w:val="24"/>
                <w14:textFill>
                  <w14:solidFill>
                    <w14:schemeClr w14:val="tx1"/>
                  </w14:solidFill>
                </w14:textFill>
              </w:rPr>
              <w:t>COD产生量为0.</w:t>
            </w:r>
            <w:r>
              <w:rPr>
                <w:rFonts w:hint="eastAsia"/>
                <w:color w:val="000000" w:themeColor="text1"/>
                <w:kern w:val="0"/>
                <w:sz w:val="24"/>
                <w:lang w:val="en-US" w:eastAsia="zh-CN"/>
                <w14:textFill>
                  <w14:solidFill>
                    <w14:schemeClr w14:val="tx1"/>
                  </w14:solidFill>
                </w14:textFill>
              </w:rPr>
              <w:t>09</w:t>
            </w:r>
            <w:r>
              <w:rPr>
                <w:color w:val="000000" w:themeColor="text1"/>
                <w:kern w:val="0"/>
                <w:sz w:val="24"/>
                <w14:textFill>
                  <w14:solidFill>
                    <w14:schemeClr w14:val="tx1"/>
                  </w14:solidFill>
                </w14:textFill>
              </w:rPr>
              <w:t>t/a</w:t>
            </w:r>
            <w:r>
              <w:rPr>
                <w:color w:val="000000" w:themeColor="text1"/>
                <w:sz w:val="24"/>
                <w:highlight w:val="none"/>
                <w14:textFill>
                  <w14:solidFill>
                    <w14:schemeClr w14:val="tx1"/>
                  </w14:solidFill>
                </w14:textFill>
              </w:rPr>
              <w:t>。</w:t>
            </w:r>
          </w:p>
          <w:p>
            <w:pPr>
              <w:pStyle w:val="132"/>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生活污水和锅炉废水通过市政管网排放至向阳乡雪水温村污水处理站</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经</w:t>
            </w:r>
            <w:r>
              <w:rPr>
                <w:rFonts w:hint="eastAsia"/>
                <w:color w:val="000000" w:themeColor="text1"/>
                <w14:textFill>
                  <w14:solidFill>
                    <w14:schemeClr w14:val="tx1"/>
                  </w14:solidFill>
                </w14:textFill>
              </w:rPr>
              <w:t>向阳乡雪水温村污水处理站</w:t>
            </w:r>
            <w:r>
              <w:rPr>
                <w:rFonts w:hint="eastAsia"/>
                <w:color w:val="000000" w:themeColor="text1"/>
                <w:lang w:val="en-US" w:eastAsia="zh-CN"/>
                <w14:textFill>
                  <w14:solidFill>
                    <w14:schemeClr w14:val="tx1"/>
                  </w14:solidFill>
                </w14:textFill>
              </w:rPr>
              <w:t>处理达标后排入黑龙江</w:t>
            </w:r>
            <w:r>
              <w:rPr>
                <w:rFonts w:hint="eastAsia"/>
                <w:color w:val="000000" w:themeColor="text1"/>
                <w14:textFill>
                  <w14:solidFill>
                    <w14:schemeClr w14:val="tx1"/>
                  </w14:solidFill>
                </w14:textFill>
              </w:rPr>
              <w:t>。</w:t>
            </w:r>
          </w:p>
          <w:p>
            <w:pPr>
              <w:pStyle w:val="132"/>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本项目废</w:t>
            </w:r>
            <w:r>
              <w:rPr>
                <w:rFonts w:hint="eastAsia"/>
                <w:color w:val="000000" w:themeColor="text1"/>
                <w14:textFill>
                  <w14:solidFill>
                    <w14:schemeClr w14:val="tx1"/>
                  </w14:solidFill>
                </w14:textFill>
              </w:rPr>
              <w:t>水</w:t>
            </w:r>
            <w:r>
              <w:rPr>
                <w:color w:val="000000" w:themeColor="text1"/>
                <w14:textFill>
                  <w14:solidFill>
                    <w14:schemeClr w14:val="tx1"/>
                  </w14:solidFill>
                </w14:textFill>
              </w:rPr>
              <w:t>污染源源强核算结果及相关参数见表4-</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，废水间接排放口基本情况见表4-</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w:t>
            </w:r>
          </w:p>
          <w:p>
            <w:pPr>
              <w:pStyle w:val="117"/>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表4-</w:t>
            </w:r>
            <w:r>
              <w:rPr>
                <w:rFonts w:hint="eastAsia"/>
                <w:color w:val="000000" w:themeColor="text1"/>
                <w:sz w:val="21"/>
                <w:szCs w:val="21"/>
                <w:lang w:val="en-US" w:eastAsia="zh-CN"/>
                <w14:textFill>
                  <w14:solidFill>
                    <w14:schemeClr w14:val="tx1"/>
                  </w14:solidFill>
                </w14:textFill>
              </w:rPr>
              <w:t>7</w:t>
            </w:r>
            <w:r>
              <w:rPr>
                <w:color w:val="000000" w:themeColor="text1"/>
                <w:sz w:val="21"/>
                <w:szCs w:val="21"/>
                <w14:textFill>
                  <w14:solidFill>
                    <w14:schemeClr w14:val="tx1"/>
                  </w14:solidFill>
                </w14:textFill>
              </w:rPr>
              <w:t xml:space="preserve">  废水污染源源强核算结果及相关参数一览表</w:t>
            </w:r>
          </w:p>
          <w:tbl>
            <w:tblPr>
              <w:tblStyle w:val="36"/>
              <w:tblW w:w="8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69"/>
              <w:gridCol w:w="650"/>
              <w:gridCol w:w="419"/>
              <w:gridCol w:w="825"/>
              <w:gridCol w:w="699"/>
              <w:gridCol w:w="659"/>
              <w:gridCol w:w="446"/>
              <w:gridCol w:w="540"/>
              <w:gridCol w:w="731"/>
              <w:gridCol w:w="699"/>
              <w:gridCol w:w="659"/>
              <w:gridCol w:w="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612" w:type="dxa"/>
                  <w:vMerge w:val="restart"/>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工序/生产线</w:t>
                  </w:r>
                </w:p>
              </w:tc>
              <w:tc>
                <w:tcPr>
                  <w:tcW w:w="869" w:type="dxa"/>
                  <w:vMerge w:val="restart"/>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w:t>
                  </w:r>
                </w:p>
              </w:tc>
              <w:tc>
                <w:tcPr>
                  <w:tcW w:w="650" w:type="dxa"/>
                  <w:vMerge w:val="restart"/>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w:t>
                  </w:r>
                </w:p>
              </w:tc>
              <w:tc>
                <w:tcPr>
                  <w:tcW w:w="2602" w:type="dxa"/>
                  <w:gridSpan w:val="4"/>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污染物产生</w:t>
                  </w:r>
                </w:p>
              </w:tc>
              <w:tc>
                <w:tcPr>
                  <w:tcW w:w="986" w:type="dxa"/>
                  <w:gridSpan w:val="2"/>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治理措施</w:t>
                  </w:r>
                </w:p>
              </w:tc>
              <w:tc>
                <w:tcPr>
                  <w:tcW w:w="2089" w:type="dxa"/>
                  <w:gridSpan w:val="3"/>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污染物排放</w:t>
                  </w:r>
                </w:p>
              </w:tc>
              <w:tc>
                <w:tcPr>
                  <w:tcW w:w="612" w:type="dxa"/>
                  <w:vMerge w:val="restart"/>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排放时间</w:t>
                  </w:r>
                </w:p>
                <w:p>
                  <w:pPr>
                    <w:pStyle w:val="145"/>
                    <w:spacing w:line="240" w:lineRule="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9" w:hRule="atLeast"/>
                <w:jc w:val="center"/>
              </w:trPr>
              <w:tc>
                <w:tcPr>
                  <w:tcW w:w="612"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c>
                <w:tcPr>
                  <w:tcW w:w="869"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c>
                <w:tcPr>
                  <w:tcW w:w="650"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c>
                <w:tcPr>
                  <w:tcW w:w="419"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核算方法</w:t>
                  </w:r>
                </w:p>
              </w:tc>
              <w:tc>
                <w:tcPr>
                  <w:tcW w:w="825"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产生废水量</w:t>
                  </w:r>
                </w:p>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a</w:t>
                  </w:r>
                </w:p>
              </w:tc>
              <w:tc>
                <w:tcPr>
                  <w:tcW w:w="699"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产生浓度</w:t>
                  </w:r>
                </w:p>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mg/L</w:t>
                  </w:r>
                </w:p>
              </w:tc>
              <w:tc>
                <w:tcPr>
                  <w:tcW w:w="659"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产生量</w:t>
                  </w:r>
                </w:p>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a</w:t>
                  </w:r>
                </w:p>
              </w:tc>
              <w:tc>
                <w:tcPr>
                  <w:tcW w:w="446"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工艺</w:t>
                  </w:r>
                </w:p>
              </w:tc>
              <w:tc>
                <w:tcPr>
                  <w:tcW w:w="540"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效率</w:t>
                  </w:r>
                </w:p>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731"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排放废水量</w:t>
                  </w:r>
                </w:p>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a</w:t>
                  </w:r>
                </w:p>
              </w:tc>
              <w:tc>
                <w:tcPr>
                  <w:tcW w:w="699"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排放浓度</w:t>
                  </w:r>
                </w:p>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mg/L</w:t>
                  </w:r>
                </w:p>
              </w:tc>
              <w:tc>
                <w:tcPr>
                  <w:tcW w:w="659"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排放量</w:t>
                  </w:r>
                </w:p>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t</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a</w:t>
                  </w:r>
                </w:p>
              </w:tc>
              <w:tc>
                <w:tcPr>
                  <w:tcW w:w="612"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612" w:type="dxa"/>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供热</w:t>
                  </w:r>
                </w:p>
              </w:tc>
              <w:tc>
                <w:tcPr>
                  <w:tcW w:w="869" w:type="dxa"/>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r>
                    <w:rPr>
                      <w:rFonts w:hint="eastAsia"/>
                      <w:color w:val="000000" w:themeColor="text1"/>
                      <w:sz w:val="18"/>
                      <w:szCs w:val="18"/>
                      <w:highlight w:val="none"/>
                      <w14:textFill>
                        <w14:solidFill>
                          <w14:schemeClr w14:val="tx1"/>
                        </w14:solidFill>
                      </w14:textFill>
                    </w:rPr>
                    <w:t>锅炉系统排污水</w:t>
                  </w:r>
                </w:p>
              </w:tc>
              <w:tc>
                <w:tcPr>
                  <w:tcW w:w="650"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COD</w:t>
                  </w:r>
                </w:p>
              </w:tc>
              <w:tc>
                <w:tcPr>
                  <w:tcW w:w="419" w:type="dxa"/>
                  <w:tcBorders>
                    <w:tl2br w:val="nil"/>
                    <w:tr2bl w:val="nil"/>
                  </w:tcBorders>
                  <w:vAlign w:val="center"/>
                </w:tcPr>
                <w:p>
                  <w:pPr>
                    <w:pStyle w:val="145"/>
                    <w:spacing w:line="240" w:lineRule="auto"/>
                    <w:rPr>
                      <w:rFonts w:hint="eastAsia" w:eastAsia="宋体"/>
                      <w:bCs/>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系数法</w:t>
                  </w:r>
                </w:p>
              </w:tc>
              <w:tc>
                <w:tcPr>
                  <w:tcW w:w="825" w:type="dxa"/>
                  <w:tcBorders>
                    <w:tl2br w:val="nil"/>
                    <w:tr2bl w:val="nil"/>
                  </w:tcBorders>
                  <w:vAlign w:val="center"/>
                </w:tcPr>
                <w:p>
                  <w:pPr>
                    <w:pStyle w:val="145"/>
                    <w:spacing w:line="240" w:lineRule="auto"/>
                    <w:rPr>
                      <w:rFonts w:hint="default" w:eastAsia="宋体"/>
                      <w:bCs/>
                      <w:color w:val="000000" w:themeColor="text1"/>
                      <w:sz w:val="18"/>
                      <w:szCs w:val="18"/>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1228.51</w:t>
                  </w:r>
                </w:p>
              </w:tc>
              <w:tc>
                <w:tcPr>
                  <w:tcW w:w="699" w:type="dxa"/>
                  <w:tcBorders>
                    <w:tl2br w:val="nil"/>
                    <w:tr2bl w:val="nil"/>
                  </w:tcBorders>
                  <w:vAlign w:val="center"/>
                </w:tcPr>
                <w:p>
                  <w:pPr>
                    <w:pStyle w:val="145"/>
                    <w:spacing w:line="240" w:lineRule="auto"/>
                    <w:rPr>
                      <w:rFonts w:hint="default" w:eastAsia="宋体"/>
                      <w:color w:val="000000" w:themeColor="text1"/>
                      <w:sz w:val="18"/>
                      <w:szCs w:val="18"/>
                      <w:lang w:val="en-US" w:eastAsia="zh-CN"/>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73.26</w:t>
                  </w:r>
                </w:p>
              </w:tc>
              <w:tc>
                <w:tcPr>
                  <w:tcW w:w="659" w:type="dxa"/>
                  <w:tcBorders>
                    <w:tl2br w:val="nil"/>
                    <w:tr2bl w:val="nil"/>
                  </w:tcBorders>
                  <w:vAlign w:val="center"/>
                </w:tcPr>
                <w:p>
                  <w:pPr>
                    <w:pStyle w:val="145"/>
                    <w:spacing w:line="240" w:lineRule="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0.09</w:t>
                  </w:r>
                </w:p>
              </w:tc>
              <w:tc>
                <w:tcPr>
                  <w:tcW w:w="446" w:type="dxa"/>
                  <w:tcBorders>
                    <w:tl2br w:val="nil"/>
                    <w:tr2bl w:val="nil"/>
                  </w:tcBorders>
                  <w:vAlign w:val="center"/>
                </w:tcPr>
                <w:p>
                  <w:pPr>
                    <w:pStyle w:val="145"/>
                    <w:spacing w:line="240" w:lineRule="auto"/>
                    <w:rPr>
                      <w:rFonts w:hint="eastAsia" w:eastAsia="宋体"/>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w:t>
                  </w:r>
                </w:p>
              </w:tc>
              <w:tc>
                <w:tcPr>
                  <w:tcW w:w="540" w:type="dxa"/>
                  <w:tcBorders>
                    <w:tl2br w:val="nil"/>
                    <w:tr2bl w:val="nil"/>
                  </w:tcBorders>
                  <w:vAlign w:val="center"/>
                </w:tcPr>
                <w:p>
                  <w:pPr>
                    <w:pStyle w:val="145"/>
                    <w:spacing w:line="240" w:lineRule="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731" w:type="dxa"/>
                  <w:tcBorders>
                    <w:tl2br w:val="nil"/>
                    <w:tr2bl w:val="nil"/>
                  </w:tcBorders>
                  <w:vAlign w:val="center"/>
                </w:tcPr>
                <w:p>
                  <w:pPr>
                    <w:pStyle w:val="145"/>
                    <w:spacing w:line="240" w:lineRule="auto"/>
                    <w:rPr>
                      <w:b/>
                      <w:bCs w:val="0"/>
                      <w:color w:val="000000" w:themeColor="text1"/>
                      <w:sz w:val="18"/>
                      <w:szCs w:val="18"/>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1228.51</w:t>
                  </w:r>
                </w:p>
              </w:tc>
              <w:tc>
                <w:tcPr>
                  <w:tcW w:w="699" w:type="dxa"/>
                  <w:tcBorders>
                    <w:tl2br w:val="nil"/>
                    <w:tr2bl w:val="nil"/>
                  </w:tcBorders>
                  <w:vAlign w:val="center"/>
                </w:tcPr>
                <w:p>
                  <w:pPr>
                    <w:pStyle w:val="145"/>
                    <w:spacing w:line="240" w:lineRule="auto"/>
                    <w:rPr>
                      <w:b/>
                      <w:bCs w:val="0"/>
                      <w:color w:val="000000" w:themeColor="text1"/>
                      <w:sz w:val="18"/>
                      <w:szCs w:val="18"/>
                      <w14:textFill>
                        <w14:solidFill>
                          <w14:schemeClr w14:val="tx1"/>
                        </w14:solidFill>
                      </w14:textFill>
                    </w:rPr>
                  </w:pPr>
                  <w:r>
                    <w:rPr>
                      <w:rFonts w:hint="eastAsia" w:eastAsia="宋体"/>
                      <w:color w:val="000000" w:themeColor="text1"/>
                      <w:sz w:val="18"/>
                      <w:szCs w:val="18"/>
                      <w:lang w:val="en-US" w:eastAsia="zh-CN"/>
                      <w14:textFill>
                        <w14:solidFill>
                          <w14:schemeClr w14:val="tx1"/>
                        </w14:solidFill>
                      </w14:textFill>
                    </w:rPr>
                    <w:t>73.26</w:t>
                  </w:r>
                </w:p>
              </w:tc>
              <w:tc>
                <w:tcPr>
                  <w:tcW w:w="659" w:type="dxa"/>
                  <w:tcBorders>
                    <w:tl2br w:val="nil"/>
                    <w:tr2bl w:val="nil"/>
                  </w:tcBorders>
                  <w:vAlign w:val="center"/>
                </w:tcPr>
                <w:p>
                  <w:pPr>
                    <w:pStyle w:val="145"/>
                    <w:spacing w:line="240" w:lineRule="auto"/>
                    <w:rPr>
                      <w:rFonts w:hint="default"/>
                      <w:b/>
                      <w:bCs w:val="0"/>
                      <w:color w:val="000000" w:themeColor="text1"/>
                      <w:sz w:val="18"/>
                      <w:szCs w:val="18"/>
                      <w:lang w:val="en-US"/>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0.09</w:t>
                  </w:r>
                </w:p>
              </w:tc>
              <w:tc>
                <w:tcPr>
                  <w:tcW w:w="612" w:type="dxa"/>
                  <w:tcBorders>
                    <w:tl2br w:val="nil"/>
                    <w:tr2bl w:val="nil"/>
                  </w:tcBorders>
                  <w:vAlign w:val="center"/>
                </w:tcPr>
                <w:p>
                  <w:pPr>
                    <w:pStyle w:val="145"/>
                    <w:spacing w:line="240" w:lineRule="auto"/>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3990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612" w:type="dxa"/>
                  <w:vMerge w:val="restart"/>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职工</w:t>
                  </w:r>
                </w:p>
              </w:tc>
              <w:tc>
                <w:tcPr>
                  <w:tcW w:w="869" w:type="dxa"/>
                  <w:vMerge w:val="restart"/>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生活污水</w:t>
                  </w:r>
                </w:p>
              </w:tc>
              <w:tc>
                <w:tcPr>
                  <w:tcW w:w="650"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w:t>
                  </w:r>
                  <w:r>
                    <w:rPr>
                      <w:color w:val="000000" w:themeColor="text1"/>
                      <w:sz w:val="18"/>
                      <w:szCs w:val="18"/>
                      <w14:textFill>
                        <w14:solidFill>
                          <w14:schemeClr w14:val="tx1"/>
                        </w14:solidFill>
                      </w14:textFill>
                    </w:rPr>
                    <w:t>OD</w:t>
                  </w:r>
                </w:p>
              </w:tc>
              <w:tc>
                <w:tcPr>
                  <w:tcW w:w="419" w:type="dxa"/>
                  <w:vMerge w:val="restart"/>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类比法</w:t>
                  </w:r>
                </w:p>
              </w:tc>
              <w:tc>
                <w:tcPr>
                  <w:tcW w:w="825" w:type="dxa"/>
                  <w:vMerge w:val="restart"/>
                  <w:tcBorders>
                    <w:tl2br w:val="nil"/>
                    <w:tr2bl w:val="nil"/>
                  </w:tcBorders>
                  <w:vAlign w:val="center"/>
                </w:tcPr>
                <w:p>
                  <w:pPr>
                    <w:pStyle w:val="145"/>
                    <w:spacing w:line="240" w:lineRule="auto"/>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40.32</w:t>
                  </w:r>
                </w:p>
              </w:tc>
              <w:tc>
                <w:tcPr>
                  <w:tcW w:w="699"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r>
                    <w:rPr>
                      <w:color w:val="000000" w:themeColor="text1"/>
                      <w:sz w:val="18"/>
                      <w:szCs w:val="18"/>
                      <w14:textFill>
                        <w14:solidFill>
                          <w14:schemeClr w14:val="tx1"/>
                        </w14:solidFill>
                      </w14:textFill>
                    </w:rPr>
                    <w:t>00</w:t>
                  </w:r>
                </w:p>
              </w:tc>
              <w:tc>
                <w:tcPr>
                  <w:tcW w:w="659" w:type="dxa"/>
                  <w:tcBorders>
                    <w:tl2br w:val="nil"/>
                    <w:tr2bl w:val="nil"/>
                  </w:tcBorders>
                  <w:vAlign w:val="center"/>
                </w:tcPr>
                <w:p>
                  <w:pPr>
                    <w:pStyle w:val="145"/>
                    <w:spacing w:line="240" w:lineRule="auto"/>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.01</w:t>
                  </w:r>
                  <w:r>
                    <w:rPr>
                      <w:rFonts w:hint="eastAsia"/>
                      <w:color w:val="000000" w:themeColor="text1"/>
                      <w:sz w:val="18"/>
                      <w:szCs w:val="18"/>
                      <w:lang w:val="en-US" w:eastAsia="zh-CN"/>
                      <w14:textFill>
                        <w14:solidFill>
                          <w14:schemeClr w14:val="tx1"/>
                        </w14:solidFill>
                      </w14:textFill>
                    </w:rPr>
                    <w:t>2</w:t>
                  </w:r>
                </w:p>
              </w:tc>
              <w:tc>
                <w:tcPr>
                  <w:tcW w:w="446" w:type="dxa"/>
                  <w:vMerge w:val="restart"/>
                  <w:tcBorders>
                    <w:tl2br w:val="nil"/>
                    <w:tr2bl w:val="nil"/>
                  </w:tcBorders>
                  <w:vAlign w:val="center"/>
                </w:tcPr>
                <w:p>
                  <w:pPr>
                    <w:pStyle w:val="145"/>
                    <w:spacing w:line="240" w:lineRule="auto"/>
                    <w:rPr>
                      <w:rFonts w:hint="eastAsia" w:eastAsia="宋体"/>
                      <w:bCs/>
                      <w:color w:val="000000" w:themeColor="text1"/>
                      <w:sz w:val="18"/>
                      <w:szCs w:val="18"/>
                      <w:lang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w:t>
                  </w:r>
                </w:p>
              </w:tc>
              <w:tc>
                <w:tcPr>
                  <w:tcW w:w="540" w:type="dxa"/>
                  <w:tcBorders>
                    <w:tl2br w:val="nil"/>
                    <w:tr2bl w:val="nil"/>
                  </w:tcBorders>
                  <w:vAlign w:val="center"/>
                </w:tcPr>
                <w:p>
                  <w:pPr>
                    <w:pStyle w:val="145"/>
                    <w:spacing w:line="240" w:lineRule="auto"/>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731" w:type="dxa"/>
                  <w:vMerge w:val="restart"/>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40.32</w:t>
                  </w:r>
                </w:p>
              </w:tc>
              <w:tc>
                <w:tcPr>
                  <w:tcW w:w="699" w:type="dxa"/>
                  <w:tcBorders>
                    <w:tl2br w:val="nil"/>
                    <w:tr2bl w:val="nil"/>
                  </w:tcBorders>
                  <w:vAlign w:val="center"/>
                </w:tcPr>
                <w:p>
                  <w:pPr>
                    <w:pStyle w:val="145"/>
                    <w:spacing w:line="240" w:lineRule="auto"/>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3</w:t>
                  </w:r>
                  <w:r>
                    <w:rPr>
                      <w:color w:val="000000" w:themeColor="text1"/>
                      <w:sz w:val="18"/>
                      <w:szCs w:val="18"/>
                      <w14:textFill>
                        <w14:solidFill>
                          <w14:schemeClr w14:val="tx1"/>
                        </w14:solidFill>
                      </w14:textFill>
                    </w:rPr>
                    <w:t>00</w:t>
                  </w:r>
                </w:p>
              </w:tc>
              <w:tc>
                <w:tcPr>
                  <w:tcW w:w="659" w:type="dxa"/>
                  <w:tcBorders>
                    <w:tl2br w:val="nil"/>
                    <w:tr2bl w:val="nil"/>
                  </w:tcBorders>
                  <w:vAlign w:val="center"/>
                </w:tcPr>
                <w:p>
                  <w:pPr>
                    <w:pStyle w:val="145"/>
                    <w:spacing w:line="240" w:lineRule="auto"/>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.01</w:t>
                  </w:r>
                  <w:r>
                    <w:rPr>
                      <w:rFonts w:hint="eastAsia"/>
                      <w:color w:val="000000" w:themeColor="text1"/>
                      <w:sz w:val="18"/>
                      <w:szCs w:val="18"/>
                      <w:lang w:val="en-US" w:eastAsia="zh-CN"/>
                      <w14:textFill>
                        <w14:solidFill>
                          <w14:schemeClr w14:val="tx1"/>
                        </w14:solidFill>
                      </w14:textFill>
                    </w:rPr>
                    <w:t>2</w:t>
                  </w:r>
                </w:p>
              </w:tc>
              <w:tc>
                <w:tcPr>
                  <w:tcW w:w="612" w:type="dxa"/>
                  <w:vMerge w:val="restart"/>
                  <w:tcBorders>
                    <w:tl2br w:val="nil"/>
                    <w:tr2bl w:val="nil"/>
                  </w:tcBorders>
                  <w:vAlign w:val="center"/>
                </w:tcPr>
                <w:p>
                  <w:pPr>
                    <w:pStyle w:val="145"/>
                    <w:spacing w:line="240" w:lineRule="auto"/>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3990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612"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c>
                <w:tcPr>
                  <w:tcW w:w="869"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c>
                <w:tcPr>
                  <w:tcW w:w="650"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氨氮</w:t>
                  </w:r>
                </w:p>
              </w:tc>
              <w:tc>
                <w:tcPr>
                  <w:tcW w:w="419" w:type="dxa"/>
                  <w:vMerge w:val="continue"/>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p>
              </w:tc>
              <w:tc>
                <w:tcPr>
                  <w:tcW w:w="825"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c>
                <w:tcPr>
                  <w:tcW w:w="699"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5</w:t>
                  </w:r>
                </w:p>
              </w:tc>
              <w:tc>
                <w:tcPr>
                  <w:tcW w:w="659" w:type="dxa"/>
                  <w:tcBorders>
                    <w:tl2br w:val="nil"/>
                    <w:tr2bl w:val="nil"/>
                  </w:tcBorders>
                  <w:vAlign w:val="center"/>
                </w:tcPr>
                <w:p>
                  <w:pPr>
                    <w:pStyle w:val="145"/>
                    <w:spacing w:line="240" w:lineRule="auto"/>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.001</w:t>
                  </w:r>
                </w:p>
              </w:tc>
              <w:tc>
                <w:tcPr>
                  <w:tcW w:w="446"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c>
                <w:tcPr>
                  <w:tcW w:w="540" w:type="dxa"/>
                  <w:tcBorders>
                    <w:tl2br w:val="nil"/>
                    <w:tr2bl w:val="nil"/>
                  </w:tcBorders>
                  <w:vAlign w:val="center"/>
                </w:tcPr>
                <w:p>
                  <w:pPr>
                    <w:pStyle w:val="145"/>
                    <w:spacing w:line="240" w:lineRule="auto"/>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731"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c>
                <w:tcPr>
                  <w:tcW w:w="699" w:type="dxa"/>
                  <w:tcBorders>
                    <w:tl2br w:val="nil"/>
                    <w:tr2bl w:val="nil"/>
                  </w:tcBorders>
                  <w:vAlign w:val="center"/>
                </w:tcPr>
                <w:p>
                  <w:pPr>
                    <w:pStyle w:val="145"/>
                    <w:spacing w:line="240" w:lineRule="auto"/>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5</w:t>
                  </w:r>
                </w:p>
              </w:tc>
              <w:tc>
                <w:tcPr>
                  <w:tcW w:w="659" w:type="dxa"/>
                  <w:tcBorders>
                    <w:tl2br w:val="nil"/>
                    <w:tr2bl w:val="nil"/>
                  </w:tcBorders>
                  <w:vAlign w:val="center"/>
                </w:tcPr>
                <w:p>
                  <w:pPr>
                    <w:pStyle w:val="145"/>
                    <w:spacing w:line="240" w:lineRule="auto"/>
                    <w:rPr>
                      <w:rFonts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.001</w:t>
                  </w:r>
                </w:p>
              </w:tc>
              <w:tc>
                <w:tcPr>
                  <w:tcW w:w="612" w:type="dxa"/>
                  <w:vMerge w:val="continue"/>
                  <w:tcBorders>
                    <w:tl2br w:val="nil"/>
                    <w:tr2bl w:val="nil"/>
                  </w:tcBorders>
                  <w:vAlign w:val="center"/>
                </w:tcPr>
                <w:p>
                  <w:pPr>
                    <w:pStyle w:val="145"/>
                    <w:spacing w:line="240" w:lineRule="auto"/>
                    <w:rPr>
                      <w:bCs/>
                      <w:color w:val="000000" w:themeColor="text1"/>
                      <w:sz w:val="18"/>
                      <w:szCs w:val="18"/>
                      <w14:textFill>
                        <w14:solidFill>
                          <w14:schemeClr w14:val="tx1"/>
                        </w14:solidFill>
                      </w14:textFill>
                    </w:rPr>
                  </w:pPr>
                </w:p>
              </w:tc>
            </w:tr>
          </w:tbl>
          <w:p>
            <w:pPr>
              <w:pStyle w:val="11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表4-</w:t>
            </w:r>
            <w:r>
              <w:rPr>
                <w:rFonts w:hint="eastAsia"/>
                <w:color w:val="000000" w:themeColor="text1"/>
                <w:sz w:val="21"/>
                <w:szCs w:val="21"/>
                <w:lang w:val="en-US" w:eastAsia="zh-CN"/>
                <w14:textFill>
                  <w14:solidFill>
                    <w14:schemeClr w14:val="tx1"/>
                  </w14:solidFill>
                </w14:textFill>
              </w:rPr>
              <w:t>8</w:t>
            </w:r>
            <w:r>
              <w:rPr>
                <w:color w:val="000000" w:themeColor="text1"/>
                <w:sz w:val="21"/>
                <w:szCs w:val="21"/>
                <w14:textFill>
                  <w14:solidFill>
                    <w14:schemeClr w14:val="tx1"/>
                  </w14:solidFill>
                </w14:textFill>
              </w:rPr>
              <w:t xml:space="preserve">  废水间接排放口基本情况表</w:t>
            </w:r>
          </w:p>
          <w:tbl>
            <w:tblPr>
              <w:tblStyle w:val="36"/>
              <w:tblW w:w="841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758"/>
              <w:gridCol w:w="777"/>
              <w:gridCol w:w="846"/>
              <w:gridCol w:w="832"/>
              <w:gridCol w:w="641"/>
              <w:gridCol w:w="790"/>
              <w:gridCol w:w="778"/>
              <w:gridCol w:w="1194"/>
              <w:gridCol w:w="13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468" w:type="dxa"/>
                  <w:vMerge w:val="restart"/>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序号</w:t>
                  </w:r>
                </w:p>
              </w:tc>
              <w:tc>
                <w:tcPr>
                  <w:tcW w:w="758" w:type="dxa"/>
                  <w:vMerge w:val="restart"/>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排放口编号</w:t>
                  </w:r>
                </w:p>
              </w:tc>
              <w:tc>
                <w:tcPr>
                  <w:tcW w:w="1623" w:type="dxa"/>
                  <w:gridSpan w:val="2"/>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排放口地理坐标</w:t>
                  </w:r>
                </w:p>
              </w:tc>
              <w:tc>
                <w:tcPr>
                  <w:tcW w:w="832" w:type="dxa"/>
                  <w:vMerge w:val="restart"/>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废水</w:t>
                  </w:r>
                </w:p>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排放量</w:t>
                  </w:r>
                </w:p>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(万t/a)</w:t>
                  </w:r>
                </w:p>
              </w:tc>
              <w:tc>
                <w:tcPr>
                  <w:tcW w:w="641" w:type="dxa"/>
                  <w:vMerge w:val="restart"/>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排放去向</w:t>
                  </w:r>
                </w:p>
              </w:tc>
              <w:tc>
                <w:tcPr>
                  <w:tcW w:w="790" w:type="dxa"/>
                  <w:vMerge w:val="restart"/>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排放规律</w:t>
                  </w:r>
                </w:p>
              </w:tc>
              <w:tc>
                <w:tcPr>
                  <w:tcW w:w="3298" w:type="dxa"/>
                  <w:gridSpan w:val="3"/>
                  <w:vMerge w:val="restart"/>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68" w:type="dxa"/>
                  <w:vMerge w:val="continue"/>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p>
              </w:tc>
              <w:tc>
                <w:tcPr>
                  <w:tcW w:w="758" w:type="dxa"/>
                  <w:vMerge w:val="continue"/>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p>
              </w:tc>
              <w:tc>
                <w:tcPr>
                  <w:tcW w:w="777" w:type="dxa"/>
                  <w:vMerge w:val="restart"/>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经度</w:t>
                  </w:r>
                </w:p>
              </w:tc>
              <w:tc>
                <w:tcPr>
                  <w:tcW w:w="846" w:type="dxa"/>
                  <w:vMerge w:val="restart"/>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r>
                    <w:rPr>
                      <w:rStyle w:val="147"/>
                      <w:color w:val="000000" w:themeColor="text1"/>
                      <w:sz w:val="18"/>
                      <w:szCs w:val="18"/>
                      <w14:textFill>
                        <w14:solidFill>
                          <w14:schemeClr w14:val="tx1"/>
                        </w14:solidFill>
                      </w14:textFill>
                    </w:rPr>
                    <w:t>纬度</w:t>
                  </w:r>
                </w:p>
              </w:tc>
              <w:tc>
                <w:tcPr>
                  <w:tcW w:w="832" w:type="dxa"/>
                  <w:vMerge w:val="continue"/>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p>
              </w:tc>
              <w:tc>
                <w:tcPr>
                  <w:tcW w:w="641" w:type="dxa"/>
                  <w:vMerge w:val="continue"/>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p>
              </w:tc>
              <w:tc>
                <w:tcPr>
                  <w:tcW w:w="790" w:type="dxa"/>
                  <w:vMerge w:val="continue"/>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p>
              </w:tc>
              <w:tc>
                <w:tcPr>
                  <w:tcW w:w="3298" w:type="dxa"/>
                  <w:gridSpan w:val="3"/>
                  <w:vMerge w:val="continue"/>
                  <w:tcBorders>
                    <w:tl2br w:val="nil"/>
                    <w:tr2bl w:val="nil"/>
                  </w:tcBorders>
                  <w:vAlign w:val="center"/>
                </w:tcPr>
                <w:p>
                  <w:pPr>
                    <w:pStyle w:val="146"/>
                    <w:spacing w:line="240" w:lineRule="auto"/>
                    <w:rPr>
                      <w:rStyle w:val="147"/>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5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7"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46"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32"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641"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90"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8"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名称</w:t>
                  </w:r>
                </w:p>
              </w:tc>
              <w:tc>
                <w:tcPr>
                  <w:tcW w:w="1194"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污染物种类</w:t>
                  </w:r>
                </w:p>
              </w:tc>
              <w:tc>
                <w:tcPr>
                  <w:tcW w:w="1326"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国家或地方污染物排放标准限值（mg/L）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468" w:type="dxa"/>
                  <w:vMerge w:val="restart"/>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1</w:t>
                  </w:r>
                </w:p>
              </w:tc>
              <w:tc>
                <w:tcPr>
                  <w:tcW w:w="758" w:type="dxa"/>
                  <w:vMerge w:val="restart"/>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DW001</w:t>
                  </w:r>
                </w:p>
              </w:tc>
              <w:tc>
                <w:tcPr>
                  <w:tcW w:w="777" w:type="dxa"/>
                  <w:vMerge w:val="restart"/>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rFonts w:hint="eastAsia"/>
                      <w:color w:val="000000" w:themeColor="text1"/>
                      <w:sz w:val="18"/>
                      <w:szCs w:val="18"/>
                      <w:highlight w:val="none"/>
                      <w14:textFill>
                        <w14:solidFill>
                          <w14:schemeClr w14:val="tx1"/>
                        </w14:solidFill>
                      </w14:textFill>
                    </w:rPr>
                    <w:t>129°45'42.1538"</w:t>
                  </w:r>
                </w:p>
              </w:tc>
              <w:tc>
                <w:tcPr>
                  <w:tcW w:w="846" w:type="dxa"/>
                  <w:vMerge w:val="restart"/>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rFonts w:hint="eastAsia"/>
                      <w:color w:val="000000" w:themeColor="text1"/>
                      <w:sz w:val="18"/>
                      <w:szCs w:val="18"/>
                      <w:highlight w:val="none"/>
                      <w14:textFill>
                        <w14:solidFill>
                          <w14:schemeClr w14:val="tx1"/>
                        </w14:solidFill>
                      </w14:textFill>
                    </w:rPr>
                    <w:t>49°10'59.1383"</w:t>
                  </w:r>
                </w:p>
              </w:tc>
              <w:tc>
                <w:tcPr>
                  <w:tcW w:w="832" w:type="dxa"/>
                  <w:vMerge w:val="restart"/>
                  <w:tcBorders>
                    <w:tl2br w:val="nil"/>
                    <w:tr2bl w:val="nil"/>
                  </w:tcBorders>
                  <w:vAlign w:val="center"/>
                </w:tcPr>
                <w:p>
                  <w:pPr>
                    <w:pStyle w:val="146"/>
                    <w:spacing w:line="240" w:lineRule="auto"/>
                    <w:rPr>
                      <w:rStyle w:val="147"/>
                      <w:rFonts w:hint="default" w:eastAsia="宋体"/>
                      <w:color w:val="000000" w:themeColor="text1"/>
                      <w:sz w:val="18"/>
                      <w:szCs w:val="18"/>
                      <w:highlight w:val="none"/>
                      <w:lang w:val="en-US" w:eastAsia="zh-CN"/>
                      <w14:textFill>
                        <w14:solidFill>
                          <w14:schemeClr w14:val="tx1"/>
                        </w14:solidFill>
                      </w14:textFill>
                    </w:rPr>
                  </w:pPr>
                  <w:r>
                    <w:rPr>
                      <w:rStyle w:val="147"/>
                      <w:rFonts w:hint="eastAsia"/>
                      <w:color w:val="000000" w:themeColor="text1"/>
                      <w:sz w:val="18"/>
                      <w:szCs w:val="18"/>
                      <w:highlight w:val="none"/>
                      <w:lang w:val="en-US" w:eastAsia="zh-CN"/>
                      <w14:textFill>
                        <w14:solidFill>
                          <w14:schemeClr w14:val="tx1"/>
                        </w14:solidFill>
                      </w14:textFill>
                    </w:rPr>
                    <w:t>0.126883</w:t>
                  </w:r>
                </w:p>
              </w:tc>
              <w:tc>
                <w:tcPr>
                  <w:tcW w:w="641" w:type="dxa"/>
                  <w:vMerge w:val="restart"/>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向阳乡雪水温村污水处理站</w:t>
                  </w:r>
                </w:p>
              </w:tc>
              <w:tc>
                <w:tcPr>
                  <w:tcW w:w="790" w:type="dxa"/>
                  <w:vMerge w:val="restart"/>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间断排放，排放期间流量稳定</w:t>
                  </w:r>
                </w:p>
              </w:tc>
              <w:tc>
                <w:tcPr>
                  <w:tcW w:w="778" w:type="dxa"/>
                  <w:vMerge w:val="restart"/>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向阳乡雪水温村污水处理站</w:t>
                  </w:r>
                </w:p>
              </w:tc>
              <w:tc>
                <w:tcPr>
                  <w:tcW w:w="1194"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rFonts w:hint="eastAsia"/>
                      <w:color w:val="000000" w:themeColor="text1"/>
                      <w:sz w:val="18"/>
                      <w:szCs w:val="18"/>
                      <w:highlight w:val="none"/>
                      <w14:textFill>
                        <w14:solidFill>
                          <w14:schemeClr w14:val="tx1"/>
                        </w14:solidFill>
                      </w14:textFill>
                    </w:rPr>
                    <w:t>p</w:t>
                  </w:r>
                  <w:r>
                    <w:rPr>
                      <w:rStyle w:val="147"/>
                      <w:color w:val="000000" w:themeColor="text1"/>
                      <w:sz w:val="18"/>
                      <w:szCs w:val="18"/>
                      <w:highlight w:val="none"/>
                      <w14:textFill>
                        <w14:solidFill>
                          <w14:schemeClr w14:val="tx1"/>
                        </w14:solidFill>
                      </w14:textFill>
                    </w:rPr>
                    <w:t>H</w:t>
                  </w:r>
                </w:p>
              </w:tc>
              <w:tc>
                <w:tcPr>
                  <w:tcW w:w="1326"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46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5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7"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46"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32"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641"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90"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1194"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化学需氧量</w:t>
                  </w:r>
                </w:p>
              </w:tc>
              <w:tc>
                <w:tcPr>
                  <w:tcW w:w="1326" w:type="dxa"/>
                  <w:tcBorders>
                    <w:tl2br w:val="nil"/>
                    <w:tr2bl w:val="nil"/>
                  </w:tcBorders>
                  <w:vAlign w:val="center"/>
                </w:tcPr>
                <w:p>
                  <w:pPr>
                    <w:pStyle w:val="146"/>
                    <w:spacing w:line="240" w:lineRule="auto"/>
                    <w:rPr>
                      <w:rStyle w:val="147"/>
                      <w:rFonts w:hint="default" w:eastAsia="宋体"/>
                      <w:color w:val="000000" w:themeColor="text1"/>
                      <w:sz w:val="18"/>
                      <w:szCs w:val="18"/>
                      <w:highlight w:val="none"/>
                      <w:lang w:val="en-US" w:eastAsia="zh-CN"/>
                      <w14:textFill>
                        <w14:solidFill>
                          <w14:schemeClr w14:val="tx1"/>
                        </w14:solidFill>
                      </w14:textFill>
                    </w:rPr>
                  </w:pPr>
                  <w:r>
                    <w:rPr>
                      <w:rStyle w:val="147"/>
                      <w:rFonts w:hint="eastAsia"/>
                      <w:color w:val="000000" w:themeColor="text1"/>
                      <w:sz w:val="18"/>
                      <w:szCs w:val="18"/>
                      <w:highlight w:val="none"/>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6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5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7"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46"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32"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641"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90"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1194"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五日生化需氧量</w:t>
                  </w:r>
                </w:p>
              </w:tc>
              <w:tc>
                <w:tcPr>
                  <w:tcW w:w="1326" w:type="dxa"/>
                  <w:tcBorders>
                    <w:tl2br w:val="nil"/>
                    <w:tr2bl w:val="nil"/>
                  </w:tcBorders>
                  <w:vAlign w:val="center"/>
                </w:tcPr>
                <w:p>
                  <w:pPr>
                    <w:pStyle w:val="146"/>
                    <w:spacing w:line="240" w:lineRule="auto"/>
                    <w:rPr>
                      <w:rStyle w:val="147"/>
                      <w:rFonts w:hint="default" w:eastAsia="宋体"/>
                      <w:color w:val="000000" w:themeColor="text1"/>
                      <w:sz w:val="18"/>
                      <w:szCs w:val="18"/>
                      <w:highlight w:val="none"/>
                      <w:lang w:val="en-US" w:eastAsia="zh-CN"/>
                      <w14:textFill>
                        <w14:solidFill>
                          <w14:schemeClr w14:val="tx1"/>
                        </w14:solidFill>
                      </w14:textFill>
                    </w:rPr>
                  </w:pPr>
                  <w:r>
                    <w:rPr>
                      <w:rStyle w:val="147"/>
                      <w:rFonts w:hint="eastAsia"/>
                      <w:color w:val="000000" w:themeColor="text1"/>
                      <w:sz w:val="18"/>
                      <w:szCs w:val="18"/>
                      <w:highlight w:val="no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46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5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7"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46"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32"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641"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90"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1194"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悬浮物</w:t>
                  </w:r>
                </w:p>
              </w:tc>
              <w:tc>
                <w:tcPr>
                  <w:tcW w:w="1326" w:type="dxa"/>
                  <w:tcBorders>
                    <w:tl2br w:val="nil"/>
                    <w:tr2bl w:val="nil"/>
                  </w:tcBorders>
                  <w:vAlign w:val="center"/>
                </w:tcPr>
                <w:p>
                  <w:pPr>
                    <w:pStyle w:val="146"/>
                    <w:spacing w:line="240" w:lineRule="auto"/>
                    <w:rPr>
                      <w:rStyle w:val="147"/>
                      <w:rFonts w:hint="default" w:eastAsia="宋体"/>
                      <w:color w:val="000000" w:themeColor="text1"/>
                      <w:sz w:val="18"/>
                      <w:szCs w:val="18"/>
                      <w:highlight w:val="none"/>
                      <w:lang w:val="en-US" w:eastAsia="zh-CN"/>
                      <w14:textFill>
                        <w14:solidFill>
                          <w14:schemeClr w14:val="tx1"/>
                        </w14:solidFill>
                      </w14:textFill>
                    </w:rPr>
                  </w:pPr>
                  <w:r>
                    <w:rPr>
                      <w:rStyle w:val="147"/>
                      <w:rFonts w:hint="eastAsia"/>
                      <w:color w:val="000000" w:themeColor="text1"/>
                      <w:sz w:val="18"/>
                      <w:szCs w:val="18"/>
                      <w:highlight w:val="no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46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5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7"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46"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32"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641"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90"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1194"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总磷</w:t>
                  </w:r>
                </w:p>
              </w:tc>
              <w:tc>
                <w:tcPr>
                  <w:tcW w:w="1326" w:type="dxa"/>
                  <w:tcBorders>
                    <w:tl2br w:val="nil"/>
                    <w:tr2bl w:val="nil"/>
                  </w:tcBorders>
                  <w:vAlign w:val="center"/>
                </w:tcPr>
                <w:p>
                  <w:pPr>
                    <w:pStyle w:val="146"/>
                    <w:spacing w:line="240" w:lineRule="auto"/>
                    <w:rPr>
                      <w:rStyle w:val="147"/>
                      <w:rFonts w:hint="eastAsia" w:eastAsia="宋体"/>
                      <w:color w:val="000000" w:themeColor="text1"/>
                      <w:sz w:val="18"/>
                      <w:szCs w:val="18"/>
                      <w:highlight w:val="none"/>
                      <w:lang w:eastAsia="zh-CN"/>
                      <w14:textFill>
                        <w14:solidFill>
                          <w14:schemeClr w14:val="tx1"/>
                        </w14:solidFill>
                      </w14:textFill>
                    </w:rPr>
                  </w:pPr>
                  <w:r>
                    <w:rPr>
                      <w:rStyle w:val="147"/>
                      <w:rFonts w:hint="eastAsia"/>
                      <w:color w:val="000000" w:themeColor="text1"/>
                      <w:sz w:val="18"/>
                      <w:szCs w:val="18"/>
                      <w:highlight w:val="none"/>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46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5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7"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46"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832"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641"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90"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778" w:type="dxa"/>
                  <w:vMerge w:val="continue"/>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p>
              </w:tc>
              <w:tc>
                <w:tcPr>
                  <w:tcW w:w="1194" w:type="dxa"/>
                  <w:tcBorders>
                    <w:tl2br w:val="nil"/>
                    <w:tr2bl w:val="nil"/>
                  </w:tcBorders>
                  <w:vAlign w:val="center"/>
                </w:tcPr>
                <w:p>
                  <w:pPr>
                    <w:pStyle w:val="146"/>
                    <w:spacing w:line="240" w:lineRule="auto"/>
                    <w:rPr>
                      <w:rStyle w:val="147"/>
                      <w:color w:val="000000" w:themeColor="text1"/>
                      <w:sz w:val="18"/>
                      <w:szCs w:val="18"/>
                      <w:highlight w:val="none"/>
                      <w14:textFill>
                        <w14:solidFill>
                          <w14:schemeClr w14:val="tx1"/>
                        </w14:solidFill>
                      </w14:textFill>
                    </w:rPr>
                  </w:pPr>
                  <w:r>
                    <w:rPr>
                      <w:rStyle w:val="147"/>
                      <w:color w:val="000000" w:themeColor="text1"/>
                      <w:sz w:val="18"/>
                      <w:szCs w:val="18"/>
                      <w:highlight w:val="none"/>
                      <w14:textFill>
                        <w14:solidFill>
                          <w14:schemeClr w14:val="tx1"/>
                        </w14:solidFill>
                      </w14:textFill>
                    </w:rPr>
                    <w:t>总氮</w:t>
                  </w:r>
                </w:p>
              </w:tc>
              <w:tc>
                <w:tcPr>
                  <w:tcW w:w="1326" w:type="dxa"/>
                  <w:tcBorders>
                    <w:tl2br w:val="nil"/>
                    <w:tr2bl w:val="nil"/>
                  </w:tcBorders>
                  <w:vAlign w:val="center"/>
                </w:tcPr>
                <w:p>
                  <w:pPr>
                    <w:pStyle w:val="146"/>
                    <w:spacing w:line="240" w:lineRule="auto"/>
                    <w:rPr>
                      <w:rStyle w:val="147"/>
                      <w:rFonts w:hint="default" w:eastAsia="宋体"/>
                      <w:color w:val="000000" w:themeColor="text1"/>
                      <w:sz w:val="18"/>
                      <w:szCs w:val="18"/>
                      <w:highlight w:val="none"/>
                      <w:lang w:val="en-US" w:eastAsia="zh-CN"/>
                      <w14:textFill>
                        <w14:solidFill>
                          <w14:schemeClr w14:val="tx1"/>
                        </w14:solidFill>
                      </w14:textFill>
                    </w:rPr>
                  </w:pPr>
                  <w:r>
                    <w:rPr>
                      <w:rStyle w:val="147"/>
                      <w:rFonts w:hint="eastAsia"/>
                      <w:color w:val="000000" w:themeColor="text1"/>
                      <w:sz w:val="18"/>
                      <w:szCs w:val="18"/>
                      <w:highlight w:val="none"/>
                      <w:lang w:val="en-US" w:eastAsia="zh-CN"/>
                      <w14:textFill>
                        <w14:solidFill>
                          <w14:schemeClr w14:val="tx1"/>
                        </w14:solidFill>
                      </w14:textFill>
                    </w:rPr>
                    <w:t>20</w:t>
                  </w:r>
                </w:p>
              </w:tc>
            </w:tr>
          </w:tbl>
          <w:p>
            <w:pPr>
              <w:pStyle w:val="132"/>
              <w:ind w:firstLine="480"/>
              <w:rPr>
                <w:color w:val="000000" w:themeColor="text1"/>
                <w14:textFill>
                  <w14:solidFill>
                    <w14:schemeClr w14:val="tx1"/>
                  </w14:solidFill>
                </w14:textFill>
              </w:rPr>
            </w:pPr>
            <w:r>
              <w:rPr>
                <w:rFonts w:hint="eastAsia"/>
                <w:color w:val="000000" w:themeColor="text1"/>
                <w:highlight w:val="none"/>
                <w14:textFill>
                  <w14:solidFill>
                    <w14:schemeClr w14:val="tx1"/>
                  </w14:solidFill>
                </w14:textFill>
              </w:rPr>
              <w:t>根据</w:t>
            </w:r>
            <w:r>
              <w:rPr>
                <w:color w:val="000000" w:themeColor="text1"/>
                <w:szCs w:val="24"/>
                <w:highlight w:val="none"/>
                <w14:textFill>
                  <w14:solidFill>
                    <w14:schemeClr w14:val="tx1"/>
                  </w14:solidFill>
                </w14:textFill>
              </w:rPr>
              <w:t>《排污单位自行监测技术指南 火力发电及锅炉》（HJ820-2017）</w:t>
            </w:r>
            <w:r>
              <w:rPr>
                <w:rFonts w:hint="eastAsia"/>
                <w:color w:val="000000" w:themeColor="text1"/>
                <w:highlight w:val="none"/>
                <w14:textFill>
                  <w14:solidFill>
                    <w14:schemeClr w14:val="tx1"/>
                  </w14:solidFill>
                </w14:textFill>
              </w:rPr>
              <w:t>，</w:t>
            </w:r>
            <w:r>
              <w:rPr>
                <w:rFonts w:hint="eastAsia"/>
                <w:color w:val="000000" w:themeColor="text1"/>
                <w14:textFill>
                  <w14:solidFill>
                    <w14:schemeClr w14:val="tx1"/>
                  </w14:solidFill>
                </w14:textFill>
              </w:rPr>
              <w:t>本项目建成后，废水污染物监测要求见表4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w:t>
            </w:r>
          </w:p>
          <w:p>
            <w:pPr>
              <w:pStyle w:val="117"/>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表4-</w:t>
            </w:r>
            <w:r>
              <w:rPr>
                <w:rFonts w:hint="eastAsia"/>
                <w:color w:val="000000" w:themeColor="text1"/>
                <w:sz w:val="21"/>
                <w:szCs w:val="21"/>
                <w:lang w:val="en-US" w:eastAsia="zh-CN"/>
                <w14:textFill>
                  <w14:solidFill>
                    <w14:schemeClr w14:val="tx1"/>
                  </w14:solidFill>
                </w14:textFill>
              </w:rPr>
              <w:t>9</w:t>
            </w:r>
            <w:r>
              <w:rPr>
                <w:color w:val="000000" w:themeColor="text1"/>
                <w:sz w:val="21"/>
                <w:szCs w:val="21"/>
                <w14:textFill>
                  <w14:solidFill>
                    <w14:schemeClr w14:val="tx1"/>
                  </w14:solidFill>
                </w14:textFill>
              </w:rPr>
              <w:t xml:space="preserve">  废水监测要求一览表</w:t>
            </w:r>
          </w:p>
          <w:tbl>
            <w:tblPr>
              <w:tblStyle w:val="36"/>
              <w:tblW w:w="8420"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462"/>
              <w:gridCol w:w="947"/>
              <w:gridCol w:w="1245"/>
              <w:gridCol w:w="376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46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监测因子</w:t>
                  </w:r>
                </w:p>
              </w:tc>
              <w:tc>
                <w:tcPr>
                  <w:tcW w:w="94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1245" w:type="dxa"/>
                  <w:tcBorders>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监测频次</w:t>
                  </w:r>
                </w:p>
              </w:tc>
              <w:tc>
                <w:tcPr>
                  <w:tcW w:w="3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246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pH、COD、SS、氨氮</w:t>
                  </w:r>
                  <w:r>
                    <w:rPr>
                      <w:rFonts w:hint="eastAsia"/>
                      <w:color w:val="000000" w:themeColor="text1"/>
                      <w:szCs w:val="21"/>
                      <w14:textFill>
                        <w14:solidFill>
                          <w14:schemeClr w14:val="tx1"/>
                        </w14:solidFill>
                      </w14:textFill>
                    </w:rPr>
                    <w:t>、流量</w:t>
                  </w:r>
                </w:p>
              </w:tc>
              <w:tc>
                <w:tcPr>
                  <w:tcW w:w="94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厂区总排口</w:t>
                  </w:r>
                </w:p>
              </w:tc>
              <w:tc>
                <w:tcPr>
                  <w:tcW w:w="1245" w:type="dxa"/>
                  <w:tcBorders>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每年一次</w:t>
                  </w:r>
                </w:p>
              </w:tc>
              <w:tc>
                <w:tcPr>
                  <w:tcW w:w="3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《污水综合排放标准》（GB8978-1996）</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表4中三级排放标准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w:t>
            </w:r>
            <w:r>
              <w:rPr>
                <w:rFonts w:hint="eastAsia"/>
                <w:color w:val="000000" w:themeColor="text1"/>
                <w:sz w:val="24"/>
                <w14:textFill>
                  <w14:solidFill>
                    <w14:schemeClr w14:val="tx1"/>
                  </w14:solidFill>
                </w14:textFill>
              </w:rPr>
              <w:t>向阳乡雪水温村污水处理站</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依托可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行性分析</w:t>
            </w:r>
          </w:p>
          <w:p>
            <w:pPr>
              <w:pStyle w:val="132"/>
              <w:spacing w:line="360" w:lineRule="auto"/>
              <w:ind w:firstLine="480"/>
              <w:rPr>
                <w:rFonts w:hint="eastAsia" w:eastAsia="宋体"/>
                <w:color w:val="000000" w:themeColor="text1"/>
                <w:kern w:val="0"/>
                <w:sz w:val="24"/>
                <w:highlight w:val="none"/>
                <w:lang w:eastAsia="zh-CN"/>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本项目区域设有市政排水管网，</w:t>
            </w:r>
            <w:r>
              <w:rPr>
                <w:rFonts w:hint="eastAsia"/>
                <w:color w:val="000000" w:themeColor="text1"/>
                <w:kern w:val="0"/>
                <w:sz w:val="24"/>
                <w:highlight w:val="none"/>
                <w:lang w:eastAsia="zh-CN"/>
                <w14:textFill>
                  <w14:solidFill>
                    <w14:schemeClr w14:val="tx1"/>
                  </w14:solidFill>
                </w14:textFill>
              </w:rPr>
              <w:t>项目</w:t>
            </w:r>
            <w:r>
              <w:rPr>
                <w:rFonts w:hint="eastAsia"/>
                <w:color w:val="000000" w:themeColor="text1"/>
                <w:kern w:val="0"/>
                <w:sz w:val="24"/>
                <w:highlight w:val="none"/>
                <w14:textFill>
                  <w14:solidFill>
                    <w14:schemeClr w14:val="tx1"/>
                  </w14:solidFill>
                </w14:textFill>
              </w:rPr>
              <w:t>废水</w:t>
            </w:r>
            <w:r>
              <w:rPr>
                <w:rFonts w:hint="eastAsia"/>
                <w:bCs/>
                <w:color w:val="000000" w:themeColor="text1"/>
                <w:sz w:val="24"/>
                <w:szCs w:val="24"/>
                <w:highlight w:val="none"/>
                <w:lang w:eastAsia="zh-CN"/>
                <w14:textFill>
                  <w14:solidFill>
                    <w14:schemeClr w14:val="tx1"/>
                  </w14:solidFill>
                </w14:textFill>
              </w:rPr>
              <w:t>由</w:t>
            </w:r>
            <w:r>
              <w:rPr>
                <w:rFonts w:hint="eastAsia"/>
                <w:color w:val="000000" w:themeColor="text1"/>
                <w:sz w:val="24"/>
                <w:highlight w:val="none"/>
                <w14:textFill>
                  <w14:solidFill>
                    <w14:schemeClr w14:val="tx1"/>
                  </w14:solidFill>
                </w14:textFill>
              </w:rPr>
              <w:t>通过市政管网排放至向阳乡雪水温村污水处理站</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向阳乡雪水温村污水处理站</w:t>
            </w:r>
            <w:r>
              <w:rPr>
                <w:rFonts w:hint="eastAsia"/>
                <w:color w:val="000000" w:themeColor="text1"/>
                <w:kern w:val="0"/>
                <w:sz w:val="24"/>
                <w:highlight w:val="none"/>
                <w14:textFill>
                  <w14:solidFill>
                    <w14:schemeClr w14:val="tx1"/>
                  </w14:solidFill>
                </w14:textFill>
              </w:rPr>
              <w:t>设计日处理能力：</w:t>
            </w:r>
            <w:r>
              <w:rPr>
                <w:rFonts w:hint="eastAsia"/>
                <w:color w:val="000000" w:themeColor="text1"/>
                <w:kern w:val="0"/>
                <w:sz w:val="24"/>
                <w:highlight w:val="none"/>
                <w:lang w:val="en-US" w:eastAsia="zh-CN"/>
                <w14:textFill>
                  <w14:solidFill>
                    <w14:schemeClr w14:val="tx1"/>
                  </w14:solidFill>
                </w14:textFill>
              </w:rPr>
              <w:t>30</w:t>
            </w:r>
            <w:r>
              <w:rPr>
                <w:rFonts w:hint="eastAsia"/>
                <w:color w:val="000000" w:themeColor="text1"/>
                <w:kern w:val="0"/>
                <w:sz w:val="24"/>
                <w:highlight w:val="none"/>
                <w14:textFill>
                  <w14:solidFill>
                    <w14:schemeClr w14:val="tx1"/>
                  </w14:solidFill>
                </w14:textFill>
              </w:rPr>
              <w:t>m</w:t>
            </w:r>
            <w:r>
              <w:rPr>
                <w:rFonts w:hint="eastAsia"/>
                <w:color w:val="000000" w:themeColor="text1"/>
                <w:kern w:val="0"/>
                <w:sz w:val="24"/>
                <w:highlight w:val="none"/>
                <w:vertAlign w:val="superscript"/>
                <w14:textFill>
                  <w14:solidFill>
                    <w14:schemeClr w14:val="tx1"/>
                  </w14:solidFill>
                </w14:textFill>
              </w:rPr>
              <w:t>3</w:t>
            </w:r>
            <w:r>
              <w:rPr>
                <w:rFonts w:hint="eastAsia"/>
                <w:color w:val="000000" w:themeColor="text1"/>
                <w:kern w:val="0"/>
                <w:sz w:val="24"/>
                <w:highlight w:val="none"/>
                <w14:textFill>
                  <w14:solidFill>
                    <w14:schemeClr w14:val="tx1"/>
                  </w14:solidFill>
                </w14:textFill>
              </w:rPr>
              <w:t>/d，处理工艺：采用</w:t>
            </w:r>
            <w:r>
              <w:rPr>
                <w:rFonts w:hint="eastAsia"/>
                <w:color w:val="000000" w:themeColor="text1"/>
                <w:kern w:val="0"/>
                <w:sz w:val="24"/>
                <w:highlight w:val="none"/>
                <w:lang w:val="en-US" w:eastAsia="zh-CN"/>
                <w14:textFill>
                  <w14:solidFill>
                    <w14:schemeClr w14:val="tx1"/>
                  </w14:solidFill>
                </w14:textFill>
              </w:rPr>
              <w:t>土壤生物滤池</w:t>
            </w:r>
            <w:r>
              <w:rPr>
                <w:rFonts w:hint="eastAsia"/>
                <w:color w:val="000000" w:themeColor="text1"/>
                <w:kern w:val="0"/>
                <w:sz w:val="24"/>
                <w:highlight w:val="none"/>
                <w14:textFill>
                  <w14:solidFill>
                    <w14:schemeClr w14:val="tx1"/>
                  </w14:solidFill>
                </w14:textFill>
              </w:rPr>
              <w:t>工艺处理，处理后废水可满足《城镇污水处理厂污染物排放标准》（GB18918-2002）一级B标准，本项目废水排放量为</w:t>
            </w:r>
            <w:r>
              <w:rPr>
                <w:rFonts w:hint="eastAsia"/>
                <w:color w:val="000000" w:themeColor="text1"/>
                <w:kern w:val="0"/>
                <w:sz w:val="24"/>
                <w:highlight w:val="none"/>
                <w:lang w:val="en-US" w:eastAsia="zh-CN"/>
                <w14:textFill>
                  <w14:solidFill>
                    <w14:schemeClr w14:val="tx1"/>
                  </w14:solidFill>
                </w14:textFill>
              </w:rPr>
              <w:t>6.04</w:t>
            </w:r>
            <w:r>
              <w:rPr>
                <w:rFonts w:hint="eastAsia"/>
                <w:color w:val="000000" w:themeColor="text1"/>
                <w:kern w:val="0"/>
                <w:sz w:val="24"/>
                <w:highlight w:val="none"/>
                <w14:textFill>
                  <w14:solidFill>
                    <w14:schemeClr w14:val="tx1"/>
                  </w14:solidFill>
                </w14:textFill>
              </w:rPr>
              <w:t>t/d，远小于</w:t>
            </w:r>
            <w:r>
              <w:rPr>
                <w:rFonts w:hint="eastAsia"/>
                <w:color w:val="000000" w:themeColor="text1"/>
                <w:sz w:val="24"/>
                <w:highlight w:val="none"/>
                <w14:textFill>
                  <w14:solidFill>
                    <w14:schemeClr w14:val="tx1"/>
                  </w14:solidFill>
                </w14:textFill>
              </w:rPr>
              <w:t>向阳乡雪水温村污水处理站</w:t>
            </w:r>
            <w:r>
              <w:rPr>
                <w:rFonts w:hint="eastAsia"/>
                <w:color w:val="000000" w:themeColor="text1"/>
                <w:kern w:val="0"/>
                <w:sz w:val="24"/>
                <w:highlight w:val="none"/>
                <w14:textFill>
                  <w14:solidFill>
                    <w14:schemeClr w14:val="tx1"/>
                  </w14:solidFill>
                </w14:textFill>
              </w:rPr>
              <w:t>剩余日处理能力，因此依托可行</w:t>
            </w:r>
            <w:r>
              <w:rPr>
                <w:rFonts w:hint="eastAsia"/>
                <w:color w:val="000000" w:themeColor="text1"/>
                <w:kern w:val="0"/>
                <w:sz w:val="24"/>
                <w:highlight w:val="none"/>
                <w:lang w:eastAsia="zh-CN"/>
                <w14:textFill>
                  <w14:solidFill>
                    <w14:schemeClr w14:val="tx1"/>
                  </w14:solidFill>
                </w14:textFill>
              </w:rPr>
              <w:t>。</w:t>
            </w:r>
          </w:p>
          <w:p>
            <w:pPr>
              <w:snapToGrid w:val="0"/>
              <w:spacing w:line="360" w:lineRule="auto"/>
              <w:ind w:firstLine="480" w:firstLineChars="200"/>
              <w:rPr>
                <w:b/>
                <w:bCs/>
                <w:color w:val="000000" w:themeColor="text1"/>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本项目废水中各污染物排放浓度均可以满足其入水水质标准，因此依托该污水厂处理本项目外排废水可行。</w:t>
            </w:r>
          </w:p>
          <w:p>
            <w:pPr>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3、噪声</w:t>
            </w:r>
          </w:p>
          <w:p>
            <w:pPr>
              <w:widowControl/>
              <w:spacing w:line="360" w:lineRule="auto"/>
              <w:ind w:firstLine="48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（1）噪声源强</w:t>
            </w:r>
          </w:p>
          <w:p>
            <w:pPr>
              <w:widowControl/>
              <w:spacing w:line="360" w:lineRule="auto"/>
              <w:ind w:firstLine="48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噪声主要来源于运转的设备，设备噪声源主要为</w:t>
            </w:r>
            <w:bookmarkStart w:id="37" w:name="_Hlk77175645"/>
            <w:r>
              <w:rPr>
                <w:color w:val="000000" w:themeColor="text1"/>
                <w:kern w:val="0"/>
                <w:sz w:val="24"/>
                <w14:textFill>
                  <w14:solidFill>
                    <w14:schemeClr w14:val="tx1"/>
                  </w14:solidFill>
                </w14:textFill>
              </w:rPr>
              <w:t>锅炉房风机等</w:t>
            </w:r>
            <w:bookmarkEnd w:id="37"/>
            <w:r>
              <w:rPr>
                <w:color w:val="000000" w:themeColor="text1"/>
                <w:kern w:val="0"/>
                <w:sz w:val="24"/>
                <w14:textFill>
                  <w14:solidFill>
                    <w14:schemeClr w14:val="tx1"/>
                  </w14:solidFill>
                </w14:textFill>
              </w:rPr>
              <w:t>，其噪声级范围在</w:t>
            </w:r>
            <w:r>
              <w:rPr>
                <w:rFonts w:hint="eastAsia"/>
                <w:color w:val="000000" w:themeColor="text1"/>
                <w:kern w:val="0"/>
                <w:sz w:val="24"/>
                <w14:textFill>
                  <w14:solidFill>
                    <w14:schemeClr w14:val="tx1"/>
                  </w14:solidFill>
                </w14:textFill>
              </w:rPr>
              <w:t>65</w:t>
            </w:r>
            <w:r>
              <w:rPr>
                <w:color w:val="000000" w:themeColor="text1"/>
                <w:sz w:val="24"/>
                <w14:textFill>
                  <w14:solidFill>
                    <w14:schemeClr w14:val="tx1"/>
                  </w14:solidFill>
                </w14:textFill>
              </w:rPr>
              <w:t>～</w:t>
            </w:r>
            <w:r>
              <w:rPr>
                <w:color w:val="000000" w:themeColor="text1"/>
                <w:kern w:val="0"/>
                <w:sz w:val="24"/>
                <w14:textFill>
                  <w14:solidFill>
                    <w14:schemeClr w14:val="tx1"/>
                  </w14:solidFill>
                </w14:textFill>
              </w:rPr>
              <w:t>7</w:t>
            </w:r>
            <w:r>
              <w:rPr>
                <w:rFonts w:hint="eastAsia"/>
                <w:color w:val="000000" w:themeColor="text1"/>
                <w:kern w:val="0"/>
                <w:sz w:val="24"/>
                <w14:textFill>
                  <w14:solidFill>
                    <w14:schemeClr w14:val="tx1"/>
                  </w14:solidFill>
                </w14:textFill>
              </w:rPr>
              <w:t>0</w:t>
            </w:r>
            <w:r>
              <w:rPr>
                <w:color w:val="000000" w:themeColor="text1"/>
                <w:kern w:val="0"/>
                <w:sz w:val="24"/>
                <w14:textFill>
                  <w14:solidFill>
                    <w14:schemeClr w14:val="tx1"/>
                  </w14:solidFill>
                </w14:textFill>
              </w:rPr>
              <w:t>dB（A）之间。详见下表。</w:t>
            </w:r>
          </w:p>
          <w:p>
            <w:pPr>
              <w:autoSpaceDE w:val="0"/>
              <w:autoSpaceDN w:val="0"/>
              <w:adjustRightInd w:val="0"/>
              <w:snapToGrid w:val="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表4-</w:t>
            </w:r>
            <w:r>
              <w:rPr>
                <w:rFonts w:hint="eastAsia"/>
                <w:b/>
                <w:bCs/>
                <w:color w:val="000000" w:themeColor="text1"/>
                <w:lang w:val="en-US" w:eastAsia="zh-CN"/>
                <w14:textFill>
                  <w14:solidFill>
                    <w14:schemeClr w14:val="tx1"/>
                  </w14:solidFill>
                </w14:textFill>
              </w:rPr>
              <w:t>10</w:t>
            </w:r>
            <w:r>
              <w:rPr>
                <w:b/>
                <w:bCs/>
                <w:color w:val="000000" w:themeColor="text1"/>
                <w14:textFill>
                  <w14:solidFill>
                    <w14:schemeClr w14:val="tx1"/>
                  </w14:solidFill>
                </w14:textFill>
              </w:rPr>
              <w:t xml:space="preserve"> 噪声污染源源强核算结果及相关参数一览表</w:t>
            </w:r>
          </w:p>
          <w:tbl>
            <w:tblPr>
              <w:tblStyle w:val="36"/>
              <w:tblW w:w="87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440"/>
              <w:gridCol w:w="440"/>
              <w:gridCol w:w="840"/>
              <w:gridCol w:w="660"/>
              <w:gridCol w:w="440"/>
              <w:gridCol w:w="440"/>
              <w:gridCol w:w="359"/>
              <w:gridCol w:w="633"/>
              <w:gridCol w:w="840"/>
              <w:gridCol w:w="440"/>
              <w:gridCol w:w="840"/>
              <w:gridCol w:w="840"/>
              <w:gridCol w:w="442"/>
              <w:gridCol w:w="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9"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440"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建筑物名称</w:t>
                  </w:r>
                </w:p>
              </w:tc>
              <w:tc>
                <w:tcPr>
                  <w:tcW w:w="440"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声源名称</w:t>
                  </w:r>
                </w:p>
              </w:tc>
              <w:tc>
                <w:tcPr>
                  <w:tcW w:w="840"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声源源强/dB(A)</w:t>
                  </w:r>
                </w:p>
              </w:tc>
              <w:tc>
                <w:tcPr>
                  <w:tcW w:w="660"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降噪措施</w:t>
                  </w:r>
                </w:p>
              </w:tc>
              <w:tc>
                <w:tcPr>
                  <w:tcW w:w="1239" w:type="dxa"/>
                  <w:gridSpan w:val="3"/>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空间相对位置/m</w:t>
                  </w:r>
                </w:p>
              </w:tc>
              <w:tc>
                <w:tcPr>
                  <w:tcW w:w="633"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距室内边界距离/m</w:t>
                  </w:r>
                </w:p>
              </w:tc>
              <w:tc>
                <w:tcPr>
                  <w:tcW w:w="840"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室内边界声级/dB(A)</w:t>
                  </w:r>
                </w:p>
              </w:tc>
              <w:tc>
                <w:tcPr>
                  <w:tcW w:w="440"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运行时段</w:t>
                  </w:r>
                </w:p>
              </w:tc>
              <w:tc>
                <w:tcPr>
                  <w:tcW w:w="840"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建筑物插入损失/dB(A)</w:t>
                  </w:r>
                </w:p>
              </w:tc>
              <w:tc>
                <w:tcPr>
                  <w:tcW w:w="1282" w:type="dxa"/>
                  <w:gridSpan w:val="2"/>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建筑物外噪声</w:t>
                  </w:r>
                </w:p>
              </w:tc>
              <w:tc>
                <w:tcPr>
                  <w:tcW w:w="660" w:type="dxa"/>
                  <w:vMerge w:val="restart"/>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9" w:type="dxa"/>
                  <w:vMerge w:val="continue"/>
                  <w:vAlign w:val="center"/>
                </w:tcPr>
                <w:p>
                  <w:pPr>
                    <w:spacing w:line="0" w:lineRule="atLeast"/>
                    <w:jc w:val="center"/>
                    <w:rPr>
                      <w:color w:val="000000" w:themeColor="text1"/>
                      <w:szCs w:val="21"/>
                      <w14:textFill>
                        <w14:solidFill>
                          <w14:schemeClr w14:val="tx1"/>
                        </w14:solidFill>
                      </w14:textFill>
                    </w:rPr>
                  </w:pPr>
                </w:p>
              </w:tc>
              <w:tc>
                <w:tcPr>
                  <w:tcW w:w="440" w:type="dxa"/>
                  <w:vMerge w:val="continue"/>
                  <w:vAlign w:val="center"/>
                </w:tcPr>
                <w:p>
                  <w:pPr>
                    <w:spacing w:line="0" w:lineRule="atLeast"/>
                    <w:jc w:val="center"/>
                    <w:rPr>
                      <w:color w:val="000000" w:themeColor="text1"/>
                      <w:szCs w:val="21"/>
                      <w14:textFill>
                        <w14:solidFill>
                          <w14:schemeClr w14:val="tx1"/>
                        </w14:solidFill>
                      </w14:textFill>
                    </w:rPr>
                  </w:pPr>
                </w:p>
              </w:tc>
              <w:tc>
                <w:tcPr>
                  <w:tcW w:w="440" w:type="dxa"/>
                  <w:vMerge w:val="continue"/>
                  <w:vAlign w:val="center"/>
                </w:tcPr>
                <w:p>
                  <w:pPr>
                    <w:spacing w:line="0" w:lineRule="atLeast"/>
                    <w:jc w:val="center"/>
                    <w:rPr>
                      <w:color w:val="000000" w:themeColor="text1"/>
                      <w:szCs w:val="21"/>
                      <w14:textFill>
                        <w14:solidFill>
                          <w14:schemeClr w14:val="tx1"/>
                        </w14:solidFill>
                      </w14:textFill>
                    </w:rPr>
                  </w:pPr>
                </w:p>
              </w:tc>
              <w:tc>
                <w:tcPr>
                  <w:tcW w:w="840" w:type="dxa"/>
                  <w:vMerge w:val="continue"/>
                  <w:vAlign w:val="center"/>
                </w:tcPr>
                <w:p>
                  <w:pPr>
                    <w:spacing w:line="0" w:lineRule="atLeast"/>
                    <w:jc w:val="center"/>
                    <w:rPr>
                      <w:color w:val="000000" w:themeColor="text1"/>
                      <w:szCs w:val="21"/>
                      <w14:textFill>
                        <w14:solidFill>
                          <w14:schemeClr w14:val="tx1"/>
                        </w14:solidFill>
                      </w14:textFill>
                    </w:rPr>
                  </w:pPr>
                </w:p>
              </w:tc>
              <w:tc>
                <w:tcPr>
                  <w:tcW w:w="660" w:type="dxa"/>
                  <w:vMerge w:val="continue"/>
                  <w:vAlign w:val="center"/>
                </w:tcPr>
                <w:p>
                  <w:pPr>
                    <w:spacing w:line="0" w:lineRule="atLeast"/>
                    <w:jc w:val="center"/>
                    <w:rPr>
                      <w:color w:val="000000" w:themeColor="text1"/>
                      <w:szCs w:val="21"/>
                      <w14:textFill>
                        <w14:solidFill>
                          <w14:schemeClr w14:val="tx1"/>
                        </w14:solidFill>
                      </w14:textFill>
                    </w:rPr>
                  </w:pPr>
                </w:p>
              </w:tc>
              <w:tc>
                <w:tcPr>
                  <w:tcW w:w="440" w:type="dxa"/>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X</w:t>
                  </w:r>
                </w:p>
              </w:tc>
              <w:tc>
                <w:tcPr>
                  <w:tcW w:w="440" w:type="dxa"/>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Y</w:t>
                  </w:r>
                </w:p>
              </w:tc>
              <w:tc>
                <w:tcPr>
                  <w:tcW w:w="359" w:type="dxa"/>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Z</w:t>
                  </w:r>
                </w:p>
              </w:tc>
              <w:tc>
                <w:tcPr>
                  <w:tcW w:w="633" w:type="dxa"/>
                  <w:vMerge w:val="continue"/>
                  <w:vAlign w:val="center"/>
                </w:tcPr>
                <w:p>
                  <w:pPr>
                    <w:spacing w:line="0" w:lineRule="atLeast"/>
                    <w:jc w:val="center"/>
                    <w:rPr>
                      <w:color w:val="000000" w:themeColor="text1"/>
                      <w:szCs w:val="21"/>
                      <w14:textFill>
                        <w14:solidFill>
                          <w14:schemeClr w14:val="tx1"/>
                        </w14:solidFill>
                      </w14:textFill>
                    </w:rPr>
                  </w:pPr>
                </w:p>
              </w:tc>
              <w:tc>
                <w:tcPr>
                  <w:tcW w:w="840" w:type="dxa"/>
                  <w:vMerge w:val="continue"/>
                  <w:vAlign w:val="center"/>
                </w:tcPr>
                <w:p>
                  <w:pPr>
                    <w:spacing w:line="0" w:lineRule="atLeast"/>
                    <w:jc w:val="center"/>
                    <w:rPr>
                      <w:color w:val="000000" w:themeColor="text1"/>
                      <w:szCs w:val="21"/>
                      <w14:textFill>
                        <w14:solidFill>
                          <w14:schemeClr w14:val="tx1"/>
                        </w14:solidFill>
                      </w14:textFill>
                    </w:rPr>
                  </w:pPr>
                </w:p>
              </w:tc>
              <w:tc>
                <w:tcPr>
                  <w:tcW w:w="440" w:type="dxa"/>
                  <w:vMerge w:val="continue"/>
                  <w:vAlign w:val="center"/>
                </w:tcPr>
                <w:p>
                  <w:pPr>
                    <w:spacing w:line="0" w:lineRule="atLeast"/>
                    <w:jc w:val="center"/>
                    <w:rPr>
                      <w:color w:val="000000" w:themeColor="text1"/>
                      <w:szCs w:val="21"/>
                      <w14:textFill>
                        <w14:solidFill>
                          <w14:schemeClr w14:val="tx1"/>
                        </w14:solidFill>
                      </w14:textFill>
                    </w:rPr>
                  </w:pPr>
                </w:p>
              </w:tc>
              <w:tc>
                <w:tcPr>
                  <w:tcW w:w="840" w:type="dxa"/>
                  <w:vMerge w:val="continue"/>
                  <w:vAlign w:val="center"/>
                </w:tcPr>
                <w:p>
                  <w:pPr>
                    <w:spacing w:line="0" w:lineRule="atLeast"/>
                    <w:jc w:val="center"/>
                    <w:rPr>
                      <w:color w:val="000000" w:themeColor="text1"/>
                      <w:szCs w:val="21"/>
                      <w14:textFill>
                        <w14:solidFill>
                          <w14:schemeClr w14:val="tx1"/>
                        </w14:solidFill>
                      </w14:textFill>
                    </w:rPr>
                  </w:pPr>
                </w:p>
              </w:tc>
              <w:tc>
                <w:tcPr>
                  <w:tcW w:w="840" w:type="dxa"/>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声压级/dB(A)</w:t>
                  </w:r>
                </w:p>
              </w:tc>
              <w:tc>
                <w:tcPr>
                  <w:tcW w:w="442" w:type="dxa"/>
                  <w:vAlign w:val="center"/>
                </w:tcPr>
                <w:p>
                  <w:pPr>
                    <w:spacing w:line="0" w:lineRule="atLeas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建筑物外距离</w:t>
                  </w:r>
                </w:p>
              </w:tc>
              <w:tc>
                <w:tcPr>
                  <w:tcW w:w="660" w:type="dxa"/>
                  <w:vMerge w:val="continue"/>
                  <w:vAlign w:val="center"/>
                </w:tcPr>
                <w:p>
                  <w:pPr>
                    <w:spacing w:line="0" w:lineRule="atLeast"/>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9" w:type="dxa"/>
                  <w:vAlign w:val="center"/>
                </w:tcPr>
                <w:p>
                  <w:pPr>
                    <w:spacing w:line="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40" w:type="dxa"/>
                  <w:vMerge w:val="restart"/>
                  <w:vAlign w:val="center"/>
                </w:tcPr>
                <w:p>
                  <w:pPr>
                    <w:spacing w:line="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锅炉房</w:t>
                  </w:r>
                </w:p>
              </w:tc>
              <w:tc>
                <w:tcPr>
                  <w:tcW w:w="440" w:type="dxa"/>
                  <w:vAlign w:val="center"/>
                </w:tcPr>
                <w:p>
                  <w:pPr>
                    <w:spacing w:line="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风机</w:t>
                  </w:r>
                </w:p>
              </w:tc>
              <w:tc>
                <w:tcPr>
                  <w:tcW w:w="840" w:type="dxa"/>
                  <w:vAlign w:val="center"/>
                </w:tcPr>
                <w:p>
                  <w:pPr>
                    <w:spacing w:line="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660" w:type="dxa"/>
                  <w:vMerge w:val="restart"/>
                  <w:vAlign w:val="center"/>
                </w:tcPr>
                <w:p>
                  <w:pPr>
                    <w:spacing w:line="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厂房隔声、减震、选用隔声门窗</w:t>
                  </w:r>
                </w:p>
              </w:tc>
              <w:tc>
                <w:tcPr>
                  <w:tcW w:w="440"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9</w:t>
                  </w:r>
                </w:p>
              </w:tc>
              <w:tc>
                <w:tcPr>
                  <w:tcW w:w="440" w:type="dxa"/>
                  <w:vAlign w:val="center"/>
                </w:tcPr>
                <w:p>
                  <w:pPr>
                    <w:spacing w:line="0" w:lineRule="atLeast"/>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359"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633" w:type="dxa"/>
                  <w:vAlign w:val="center"/>
                </w:tcPr>
                <w:p>
                  <w:pPr>
                    <w:spacing w:line="0" w:lineRule="atLeast"/>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5</w:t>
                  </w:r>
                </w:p>
              </w:tc>
              <w:tc>
                <w:tcPr>
                  <w:tcW w:w="840" w:type="dxa"/>
                  <w:vAlign w:val="center"/>
                </w:tcPr>
                <w:p>
                  <w:pPr>
                    <w:spacing w:line="0" w:lineRule="atLeas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62</w:t>
                  </w:r>
                </w:p>
              </w:tc>
              <w:tc>
                <w:tcPr>
                  <w:tcW w:w="440"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6h间歇运行</w:t>
                  </w:r>
                </w:p>
              </w:tc>
              <w:tc>
                <w:tcPr>
                  <w:tcW w:w="840"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p>
              </w:tc>
              <w:tc>
                <w:tcPr>
                  <w:tcW w:w="840" w:type="dxa"/>
                  <w:vAlign w:val="center"/>
                </w:tcPr>
                <w:p>
                  <w:pPr>
                    <w:spacing w:line="0" w:lineRule="atLeas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42</w:t>
                  </w:r>
                </w:p>
              </w:tc>
              <w:tc>
                <w:tcPr>
                  <w:tcW w:w="442"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660" w:type="dxa"/>
                  <w:vAlign w:val="center"/>
                </w:tcPr>
                <w:p>
                  <w:pPr>
                    <w:spacing w:line="0" w:lineRule="atLeas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3990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39" w:type="dxa"/>
                  <w:vAlign w:val="center"/>
                </w:tcPr>
                <w:p>
                  <w:pPr>
                    <w:spacing w:line="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40" w:type="dxa"/>
                  <w:vMerge w:val="continue"/>
                  <w:vAlign w:val="center"/>
                </w:tcPr>
                <w:p>
                  <w:pPr>
                    <w:spacing w:line="0" w:lineRule="atLeast"/>
                    <w:jc w:val="center"/>
                    <w:rPr>
                      <w:color w:val="000000" w:themeColor="text1"/>
                      <w:szCs w:val="21"/>
                      <w14:textFill>
                        <w14:solidFill>
                          <w14:schemeClr w14:val="tx1"/>
                        </w14:solidFill>
                      </w14:textFill>
                    </w:rPr>
                  </w:pPr>
                </w:p>
              </w:tc>
              <w:tc>
                <w:tcPr>
                  <w:tcW w:w="440" w:type="dxa"/>
                  <w:vAlign w:val="center"/>
                </w:tcPr>
                <w:p>
                  <w:pPr>
                    <w:spacing w:line="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水泵</w:t>
                  </w:r>
                </w:p>
              </w:tc>
              <w:tc>
                <w:tcPr>
                  <w:tcW w:w="840" w:type="dxa"/>
                  <w:vAlign w:val="center"/>
                </w:tcPr>
                <w:p>
                  <w:pPr>
                    <w:spacing w:line="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660" w:type="dxa"/>
                  <w:vMerge w:val="continue"/>
                  <w:vAlign w:val="center"/>
                </w:tcPr>
                <w:p>
                  <w:pPr>
                    <w:spacing w:line="0" w:lineRule="atLeast"/>
                    <w:jc w:val="center"/>
                    <w:rPr>
                      <w:color w:val="000000" w:themeColor="text1"/>
                      <w:szCs w:val="21"/>
                      <w14:textFill>
                        <w14:solidFill>
                          <w14:schemeClr w14:val="tx1"/>
                        </w14:solidFill>
                      </w14:textFill>
                    </w:rPr>
                  </w:pPr>
                </w:p>
              </w:tc>
              <w:tc>
                <w:tcPr>
                  <w:tcW w:w="440"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14</w:t>
                  </w:r>
                </w:p>
              </w:tc>
              <w:tc>
                <w:tcPr>
                  <w:tcW w:w="440" w:type="dxa"/>
                  <w:vAlign w:val="center"/>
                </w:tcPr>
                <w:p>
                  <w:pPr>
                    <w:spacing w:line="0" w:lineRule="atLeast"/>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359"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633" w:type="dxa"/>
                  <w:vAlign w:val="center"/>
                </w:tcPr>
                <w:p>
                  <w:pPr>
                    <w:spacing w:line="0" w:lineRule="atLeas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5.5</w:t>
                  </w:r>
                </w:p>
              </w:tc>
              <w:tc>
                <w:tcPr>
                  <w:tcW w:w="840" w:type="dxa"/>
                  <w:vAlign w:val="center"/>
                </w:tcPr>
                <w:p>
                  <w:pPr>
                    <w:spacing w:line="0" w:lineRule="atLeas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50.2</w:t>
                  </w:r>
                </w:p>
              </w:tc>
              <w:tc>
                <w:tcPr>
                  <w:tcW w:w="440"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6h间歇运行</w:t>
                  </w:r>
                </w:p>
              </w:tc>
              <w:tc>
                <w:tcPr>
                  <w:tcW w:w="840"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p>
              </w:tc>
              <w:tc>
                <w:tcPr>
                  <w:tcW w:w="840" w:type="dxa"/>
                  <w:vAlign w:val="center"/>
                </w:tcPr>
                <w:p>
                  <w:pPr>
                    <w:spacing w:line="0" w:lineRule="atLeas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30.2</w:t>
                  </w:r>
                </w:p>
              </w:tc>
              <w:tc>
                <w:tcPr>
                  <w:tcW w:w="442" w:type="dxa"/>
                  <w:vAlign w:val="center"/>
                </w:tcPr>
                <w:p>
                  <w:pPr>
                    <w:spacing w:line="0" w:lineRule="atLeas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660" w:type="dxa"/>
                  <w:vAlign w:val="center"/>
                </w:tcPr>
                <w:p>
                  <w:pPr>
                    <w:spacing w:line="0" w:lineRule="atLeas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3990</w:t>
                  </w:r>
                </w:p>
              </w:tc>
            </w:tr>
          </w:tbl>
          <w:p>
            <w:pPr>
              <w:spacing w:line="360" w:lineRule="auto"/>
              <w:ind w:firstLine="48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）预测模式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①某一室内声源靠近围护结构处产生的倍频带声压级</w:t>
            </w:r>
          </w:p>
          <w:p>
            <w:pPr>
              <w:pStyle w:val="132"/>
              <w:spacing w:line="360" w:lineRule="auto"/>
              <w:ind w:left="1320" w:hanging="1320" w:hangingChars="550"/>
              <w:jc w:val="center"/>
              <w:textAlignment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41.15pt;width:169.7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p>
          <w:p>
            <w:pPr>
              <w:pStyle w:val="132"/>
              <w:spacing w:line="360" w:lineRule="auto"/>
              <w:ind w:firstLine="480"/>
              <w:textAlignment w:val="center"/>
              <w:rPr>
                <w:color w:val="000000" w:themeColor="text1"/>
                <w14:textFill>
                  <w14:solidFill>
                    <w14:schemeClr w14:val="tx1"/>
                  </w14:solidFill>
                </w14:textFill>
              </w:rPr>
            </w:pPr>
            <w:r>
              <w:rPr>
                <w:color w:val="000000" w:themeColor="text1"/>
                <w14:textFill>
                  <w14:solidFill>
                    <w14:schemeClr w14:val="tx1"/>
                  </w14:solidFill>
                </w14:textFill>
              </w:rPr>
              <w:t>式中：L</w:t>
            </w:r>
            <w:r>
              <w:rPr>
                <w:color w:val="000000" w:themeColor="text1"/>
                <w:vertAlign w:val="subscript"/>
                <w14:textFill>
                  <w14:solidFill>
                    <w14:schemeClr w14:val="tx1"/>
                  </w14:solidFill>
                </w14:textFill>
              </w:rPr>
              <w:t>p1</w:t>
            </w:r>
            <w:r>
              <w:rPr>
                <w:color w:val="000000" w:themeColor="text1"/>
                <w14:textFill>
                  <w14:solidFill>
                    <w14:schemeClr w14:val="tx1"/>
                  </w14:solidFill>
                </w14:textFill>
              </w:rPr>
              <w:t>—靠近开口处（窗户）室内某倍频带的声压级或A声级，dB；</w:t>
            </w:r>
          </w:p>
          <w:p>
            <w:pPr>
              <w:pStyle w:val="132"/>
              <w:spacing w:line="360" w:lineRule="auto"/>
              <w:ind w:firstLine="480"/>
              <w:textAlignment w:val="center"/>
              <w:rPr>
                <w:color w:val="000000" w:themeColor="text1"/>
                <w14:textFill>
                  <w14:solidFill>
                    <w14:schemeClr w14:val="tx1"/>
                  </w14:solidFill>
                </w14:textFill>
              </w:rPr>
            </w:pPr>
            <w:r>
              <w:rPr>
                <w:color w:val="000000" w:themeColor="text1"/>
                <w14:textFill>
                  <w14:solidFill>
                    <w14:schemeClr w14:val="tx1"/>
                  </w14:solidFill>
                </w14:textFill>
              </w:rPr>
              <w:t xml:space="preserve">      L</w:t>
            </w:r>
            <w:r>
              <w:rPr>
                <w:color w:val="000000" w:themeColor="text1"/>
                <w:vertAlign w:val="subscript"/>
                <w14:textFill>
                  <w14:solidFill>
                    <w14:schemeClr w14:val="tx1"/>
                  </w14:solidFill>
                </w14:textFill>
              </w:rPr>
              <w:t>w</w:t>
            </w:r>
            <w:r>
              <w:rPr>
                <w:color w:val="000000" w:themeColor="text1"/>
                <w14:textFill>
                  <w14:solidFill>
                    <w14:schemeClr w14:val="tx1"/>
                  </w14:solidFill>
                </w14:textFill>
              </w:rPr>
              <w:t>—点声源声功率级（A计权或倍频带），dB；</w:t>
            </w:r>
          </w:p>
          <w:p>
            <w:pPr>
              <w:pStyle w:val="132"/>
              <w:spacing w:line="360" w:lineRule="auto"/>
              <w:ind w:firstLine="480"/>
              <w:textAlignment w:val="center"/>
              <w:rPr>
                <w:color w:val="000000" w:themeColor="text1"/>
                <w14:textFill>
                  <w14:solidFill>
                    <w14:schemeClr w14:val="tx1"/>
                  </w14:solidFill>
                </w14:textFill>
              </w:rPr>
            </w:pPr>
            <w:r>
              <w:rPr>
                <w:color w:val="000000" w:themeColor="text1"/>
                <w14:textFill>
                  <w14:solidFill>
                    <w14:schemeClr w14:val="tx1"/>
                  </w14:solidFill>
                </w14:textFill>
              </w:rPr>
              <w:t xml:space="preserve">      Q—指向性因数，通常对无指向性声源，当声源放在房间中心时，</w:t>
            </w:r>
            <w:r>
              <w:rPr>
                <w:i/>
                <w:color w:val="000000" w:themeColor="text1"/>
                <w14:textFill>
                  <w14:solidFill>
                    <w14:schemeClr w14:val="tx1"/>
                  </w14:solidFill>
                </w14:textFill>
              </w:rPr>
              <w:t>Q</w:t>
            </w:r>
            <w:r>
              <w:rPr>
                <w:color w:val="000000" w:themeColor="text1"/>
                <w14:textFill>
                  <w14:solidFill>
                    <w14:schemeClr w14:val="tx1"/>
                  </w14:solidFill>
                </w14:textFill>
              </w:rPr>
              <w:t>=1，当放在一面墙的中心时，</w:t>
            </w:r>
            <w:r>
              <w:rPr>
                <w:i/>
                <w:color w:val="000000" w:themeColor="text1"/>
                <w14:textFill>
                  <w14:solidFill>
                    <w14:schemeClr w14:val="tx1"/>
                  </w14:solidFill>
                </w14:textFill>
              </w:rPr>
              <w:t>Q</w:t>
            </w:r>
            <w:r>
              <w:rPr>
                <w:color w:val="000000" w:themeColor="text1"/>
                <w14:textFill>
                  <w14:solidFill>
                    <w14:schemeClr w14:val="tx1"/>
                  </w14:solidFill>
                </w14:textFill>
              </w:rPr>
              <w:t>=2；当放在两面墙夹角处时，</w:t>
            </w:r>
            <w:r>
              <w:rPr>
                <w:i/>
                <w:color w:val="000000" w:themeColor="text1"/>
                <w14:textFill>
                  <w14:solidFill>
                    <w14:schemeClr w14:val="tx1"/>
                  </w14:solidFill>
                </w14:textFill>
              </w:rPr>
              <w:t>Q</w:t>
            </w:r>
            <w:r>
              <w:rPr>
                <w:color w:val="000000" w:themeColor="text1"/>
                <w14:textFill>
                  <w14:solidFill>
                    <w14:schemeClr w14:val="tx1"/>
                  </w14:solidFill>
                </w14:textFill>
              </w:rPr>
              <w:t>=4，当放在三面墙夹角处时，</w:t>
            </w:r>
            <w:r>
              <w:rPr>
                <w:i/>
                <w:color w:val="000000" w:themeColor="text1"/>
                <w14:textFill>
                  <w14:solidFill>
                    <w14:schemeClr w14:val="tx1"/>
                  </w14:solidFill>
                </w14:textFill>
              </w:rPr>
              <w:t>Q</w:t>
            </w:r>
            <w:r>
              <w:rPr>
                <w:color w:val="000000" w:themeColor="text1"/>
                <w14:textFill>
                  <w14:solidFill>
                    <w14:schemeClr w14:val="tx1"/>
                  </w14:solidFill>
                </w14:textFill>
              </w:rPr>
              <w:t>=8；</w:t>
            </w:r>
          </w:p>
          <w:p>
            <w:pPr>
              <w:pStyle w:val="132"/>
              <w:spacing w:line="360" w:lineRule="auto"/>
              <w:ind w:firstLine="480"/>
              <w:textAlignment w:val="center"/>
              <w:rPr>
                <w:color w:val="000000" w:themeColor="text1"/>
                <w14:textFill>
                  <w14:solidFill>
                    <w14:schemeClr w14:val="tx1"/>
                  </w14:solidFill>
                </w14:textFill>
              </w:rPr>
            </w:pPr>
            <w:r>
              <w:rPr>
                <w:i/>
                <w:color w:val="000000" w:themeColor="text1"/>
                <w14:textFill>
                  <w14:solidFill>
                    <w14:schemeClr w14:val="tx1"/>
                  </w14:solidFill>
                </w14:textFill>
              </w:rPr>
              <w:t xml:space="preserve">     R</w:t>
            </w:r>
            <w:r>
              <w:rPr>
                <w:color w:val="000000" w:themeColor="text1"/>
                <w14:textFill>
                  <w14:solidFill>
                    <w14:schemeClr w14:val="tx1"/>
                  </w14:solidFill>
                </w14:textFill>
              </w:rPr>
              <w:t>—房间常数，</w:t>
            </w:r>
            <w:r>
              <w:rPr>
                <w:i/>
                <w:color w:val="000000" w:themeColor="text1"/>
                <w14:textFill>
                  <w14:solidFill>
                    <w14:schemeClr w14:val="tx1"/>
                  </w14:solidFill>
                </w14:textFill>
              </w:rPr>
              <w:t>R</w:t>
            </w:r>
            <w:r>
              <w:rPr>
                <w:color w:val="000000" w:themeColor="text1"/>
                <w14:textFill>
                  <w14:solidFill>
                    <w14:schemeClr w14:val="tx1"/>
                  </w14:solidFill>
                </w14:textFill>
              </w:rPr>
              <w:t>=</w:t>
            </w:r>
            <w:r>
              <w:rPr>
                <w:i/>
                <w:color w:val="000000" w:themeColor="text1"/>
                <w14:textFill>
                  <w14:solidFill>
                    <w14:schemeClr w14:val="tx1"/>
                  </w14:solidFill>
                </w14:textFill>
              </w:rPr>
              <w:t>S</w:t>
            </w:r>
            <w:r>
              <w:rPr>
                <w:color w:val="000000" w:themeColor="text1"/>
                <w14:textFill>
                  <w14:solidFill>
                    <w14:schemeClr w14:val="tx1"/>
                  </w14:solidFill>
                </w14:textFill>
              </w:rPr>
              <w:t>α/(1−α</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i/>
                <w:color w:val="000000" w:themeColor="text1"/>
                <w14:textFill>
                  <w14:solidFill>
                    <w14:schemeClr w14:val="tx1"/>
                  </w14:solidFill>
                </w14:textFill>
              </w:rPr>
              <w:t>S</w:t>
            </w:r>
            <w:r>
              <w:rPr>
                <w:color w:val="000000" w:themeColor="text1"/>
                <w14:textFill>
                  <w14:solidFill>
                    <w14:schemeClr w14:val="tx1"/>
                  </w14:solidFill>
                </w14:textFill>
              </w:rPr>
              <w:t>为房间内表面面积，m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，α为平均吸声系数；</w:t>
            </w:r>
          </w:p>
          <w:p>
            <w:pPr>
              <w:pStyle w:val="132"/>
              <w:spacing w:line="360" w:lineRule="auto"/>
              <w:ind w:firstLine="480"/>
              <w:textAlignment w:val="center"/>
              <w:rPr>
                <w:color w:val="000000" w:themeColor="text1"/>
                <w14:textFill>
                  <w14:solidFill>
                    <w14:schemeClr w14:val="tx1"/>
                  </w14:solidFill>
                </w14:textFill>
              </w:rPr>
            </w:pPr>
            <w:r>
              <w:rPr>
                <w:i/>
                <w:color w:val="000000" w:themeColor="text1"/>
                <w14:textFill>
                  <w14:solidFill>
                    <w14:schemeClr w14:val="tx1"/>
                  </w14:solidFill>
                </w14:textFill>
              </w:rPr>
              <w:t xml:space="preserve">     r</w:t>
            </w:r>
            <w:r>
              <w:rPr>
                <w:color w:val="000000" w:themeColor="text1"/>
                <w14:textFill>
                  <w14:solidFill>
                    <w14:schemeClr w14:val="tx1"/>
                  </w14:solidFill>
                </w14:textFill>
              </w:rPr>
              <w:t>—声源到靠近围护结构某点处的距离，m。</w:t>
            </w:r>
          </w:p>
          <w:p>
            <w:pPr>
              <w:pStyle w:val="132"/>
              <w:spacing w:line="360" w:lineRule="auto"/>
              <w:ind w:firstLine="480"/>
              <w:textAlignment w:val="center"/>
              <w:rPr>
                <w:color w:val="000000" w:themeColor="text1"/>
                <w14:textFill>
                  <w14:solidFill>
                    <w14:schemeClr w14:val="tx1"/>
                  </w14:solidFill>
                </w14:textFill>
              </w:rPr>
            </w:pPr>
            <w:r>
              <w:rPr>
                <w:color w:val="000000" w:themeColor="text1"/>
                <w14:textFill>
                  <w14:solidFill>
                    <w14:schemeClr w14:val="tx1"/>
                  </w14:solidFill>
                </w14:textFill>
              </w:rPr>
              <w:t>②所有室内声源在围护结构处产生的</w:t>
            </w:r>
            <w:r>
              <w:rPr>
                <w:i/>
                <w:color w:val="000000" w:themeColor="text1"/>
                <w14:textFill>
                  <w14:solidFill>
                    <w14:schemeClr w14:val="tx1"/>
                  </w14:solidFill>
                </w14:textFill>
              </w:rPr>
              <w:t>i</w:t>
            </w:r>
            <w:r>
              <w:rPr>
                <w:color w:val="000000" w:themeColor="text1"/>
                <w14:textFill>
                  <w14:solidFill>
                    <w14:schemeClr w14:val="tx1"/>
                  </w14:solidFill>
                </w14:textFill>
              </w:rPr>
              <w:t>倍频带叠加声压级：</w:t>
            </w:r>
          </w:p>
          <w:p>
            <w:pPr>
              <w:pStyle w:val="132"/>
              <w:spacing w:line="360" w:lineRule="auto"/>
              <w:ind w:firstLine="480"/>
              <w:jc w:val="center"/>
              <w:textAlignment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41.15pt;width:144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p>
          <w:p>
            <w:pPr>
              <w:pStyle w:val="132"/>
              <w:spacing w:line="360" w:lineRule="auto"/>
              <w:ind w:firstLine="480"/>
              <w:textAlignment w:val="center"/>
              <w:rPr>
                <w:color w:val="000000" w:themeColor="text1"/>
                <w14:textFill>
                  <w14:solidFill>
                    <w14:schemeClr w14:val="tx1"/>
                  </w14:solidFill>
                </w14:textFill>
              </w:rPr>
            </w:pPr>
            <w:r>
              <w:rPr>
                <w:color w:val="000000" w:themeColor="text1"/>
                <w14:textFill>
                  <w14:solidFill>
                    <w14:schemeClr w14:val="tx1"/>
                  </w14:solidFill>
                </w14:textFill>
              </w:rPr>
              <w:t>式中：</w:t>
            </w:r>
            <w:r>
              <w:rPr>
                <w:i/>
                <w:color w:val="000000" w:themeColor="text1"/>
                <w14:textFill>
                  <w14:solidFill>
                    <w14:schemeClr w14:val="tx1"/>
                  </w14:solidFill>
                </w14:textFill>
              </w:rPr>
              <w:t>L</w:t>
            </w:r>
            <w:r>
              <w:rPr>
                <w:color w:val="000000" w:themeColor="text1"/>
                <w:vertAlign w:val="subscript"/>
                <w14:textFill>
                  <w14:solidFill>
                    <w14:schemeClr w14:val="tx1"/>
                  </w14:solidFill>
                </w14:textFill>
              </w:rPr>
              <w:t>p1i</w:t>
            </w:r>
            <w:r>
              <w:rPr>
                <w:color w:val="000000" w:themeColor="text1"/>
                <w14:textFill>
                  <w14:solidFill>
                    <w14:schemeClr w14:val="tx1"/>
                  </w14:solidFill>
                </w14:textFill>
              </w:rPr>
              <w:t>(</w:t>
            </w:r>
            <w:r>
              <w:rPr>
                <w:i/>
                <w:color w:val="000000" w:themeColor="text1"/>
                <w14:textFill>
                  <w14:solidFill>
                    <w14:schemeClr w14:val="tx1"/>
                  </w14:solidFill>
                </w14:textFill>
              </w:rPr>
              <w:t>T</w:t>
            </w:r>
            <w:r>
              <w:rPr>
                <w:color w:val="000000" w:themeColor="text1"/>
                <w14:textFill>
                  <w14:solidFill>
                    <w14:schemeClr w14:val="tx1"/>
                  </w14:solidFill>
                </w14:textFill>
              </w:rPr>
              <w:t>)—靠近围护结构处室内</w:t>
            </w:r>
            <w:r>
              <w:rPr>
                <w:i/>
                <w:iCs/>
                <w:color w:val="000000" w:themeColor="text1"/>
                <w14:textFill>
                  <w14:solidFill>
                    <w14:schemeClr w14:val="tx1"/>
                  </w14:solidFill>
                </w14:textFill>
              </w:rPr>
              <w:t>N</w:t>
            </w:r>
            <w:r>
              <w:rPr>
                <w:color w:val="000000" w:themeColor="text1"/>
                <w14:textFill>
                  <w14:solidFill>
                    <w14:schemeClr w14:val="tx1"/>
                  </w14:solidFill>
                </w14:textFill>
              </w:rPr>
              <w:t>个声源</w:t>
            </w:r>
            <w:r>
              <w:rPr>
                <w:i/>
                <w:iCs/>
                <w:color w:val="000000" w:themeColor="text1"/>
                <w14:textFill>
                  <w14:solidFill>
                    <w14:schemeClr w14:val="tx1"/>
                  </w14:solidFill>
                </w14:textFill>
              </w:rPr>
              <w:t>i</w:t>
            </w:r>
            <w:r>
              <w:rPr>
                <w:color w:val="000000" w:themeColor="text1"/>
                <w14:textFill>
                  <w14:solidFill>
                    <w14:schemeClr w14:val="tx1"/>
                  </w14:solidFill>
                </w14:textFill>
              </w:rPr>
              <w:t>倍频带的叠加声压级，dB；</w:t>
            </w:r>
          </w:p>
          <w:p>
            <w:pPr>
              <w:pStyle w:val="132"/>
              <w:spacing w:line="360" w:lineRule="auto"/>
              <w:ind w:firstLine="480"/>
              <w:textAlignment w:val="center"/>
              <w:rPr>
                <w:color w:val="000000" w:themeColor="text1"/>
                <w14:textFill>
                  <w14:solidFill>
                    <w14:schemeClr w14:val="tx1"/>
                  </w14:solidFill>
                </w14:textFill>
              </w:rPr>
            </w:pPr>
            <w:r>
              <w:rPr>
                <w:iCs/>
                <w:color w:val="000000" w:themeColor="text1"/>
                <w14:textFill>
                  <w14:solidFill>
                    <w14:schemeClr w14:val="tx1"/>
                  </w14:solidFill>
                </w14:textFill>
              </w:rPr>
              <w:t xml:space="preserve">     L</w:t>
            </w:r>
            <w:r>
              <w:rPr>
                <w:iCs/>
                <w:color w:val="000000" w:themeColor="text1"/>
                <w:vertAlign w:val="subscript"/>
                <w14:textFill>
                  <w14:solidFill>
                    <w14:schemeClr w14:val="tx1"/>
                  </w14:solidFill>
                </w14:textFill>
              </w:rPr>
              <w:t>p</w:t>
            </w:r>
            <w:r>
              <w:rPr>
                <w:color w:val="000000" w:themeColor="text1"/>
                <w:vertAlign w:val="subscript"/>
                <w14:textFill>
                  <w14:solidFill>
                    <w14:schemeClr w14:val="tx1"/>
                  </w14:solidFill>
                </w14:textFill>
              </w:rPr>
              <w:t>1</w:t>
            </w:r>
            <w:r>
              <w:rPr>
                <w:iCs/>
                <w:color w:val="000000" w:themeColor="text1"/>
                <w:vertAlign w:val="subscript"/>
                <w14:textFill>
                  <w14:solidFill>
                    <w14:schemeClr w14:val="tx1"/>
                  </w14:solidFill>
                </w14:textFill>
              </w:rPr>
              <w:t>ij</w:t>
            </w:r>
            <w:r>
              <w:rPr>
                <w:color w:val="000000" w:themeColor="text1"/>
                <w14:textFill>
                  <w14:solidFill>
                    <w14:schemeClr w14:val="tx1"/>
                  </w14:solidFill>
                </w14:textFill>
              </w:rPr>
              <w:t>—室内</w:t>
            </w:r>
            <w:r>
              <w:rPr>
                <w:iCs/>
                <w:color w:val="000000" w:themeColor="text1"/>
                <w14:textFill>
                  <w14:solidFill>
                    <w14:schemeClr w14:val="tx1"/>
                  </w14:solidFill>
                </w14:textFill>
              </w:rPr>
              <w:t>j</w:t>
            </w:r>
            <w:r>
              <w:rPr>
                <w:color w:val="000000" w:themeColor="text1"/>
                <w14:textFill>
                  <w14:solidFill>
                    <w14:schemeClr w14:val="tx1"/>
                  </w14:solidFill>
                </w14:textFill>
              </w:rPr>
              <w:t>声源</w:t>
            </w:r>
            <w:r>
              <w:rPr>
                <w:iCs/>
                <w:color w:val="000000" w:themeColor="text1"/>
                <w14:textFill>
                  <w14:solidFill>
                    <w14:schemeClr w14:val="tx1"/>
                  </w14:solidFill>
                </w14:textFill>
              </w:rPr>
              <w:t>i</w:t>
            </w:r>
            <w:r>
              <w:rPr>
                <w:color w:val="000000" w:themeColor="text1"/>
                <w14:textFill>
                  <w14:solidFill>
                    <w14:schemeClr w14:val="tx1"/>
                  </w14:solidFill>
                </w14:textFill>
              </w:rPr>
              <w:t>倍频带的声压级，dB；</w:t>
            </w:r>
          </w:p>
          <w:p>
            <w:pPr>
              <w:pStyle w:val="132"/>
              <w:spacing w:line="360" w:lineRule="auto"/>
              <w:ind w:firstLine="480"/>
              <w:textAlignment w:val="center"/>
              <w:rPr>
                <w:color w:val="000000" w:themeColor="text1"/>
                <w14:textFill>
                  <w14:solidFill>
                    <w14:schemeClr w14:val="tx1"/>
                  </w14:solidFill>
                </w14:textFill>
              </w:rPr>
            </w:pPr>
            <w:r>
              <w:rPr>
                <w:iCs/>
                <w:color w:val="000000" w:themeColor="text1"/>
                <w14:textFill>
                  <w14:solidFill>
                    <w14:schemeClr w14:val="tx1"/>
                  </w14:solidFill>
                </w14:textFill>
              </w:rPr>
              <w:t xml:space="preserve">     N</w:t>
            </w:r>
            <w:r>
              <w:rPr>
                <w:color w:val="000000" w:themeColor="text1"/>
                <w14:textFill>
                  <w14:solidFill>
                    <w14:schemeClr w14:val="tx1"/>
                  </w14:solidFill>
                </w14:textFill>
              </w:rPr>
              <w:t>—室内声源总数。</w:t>
            </w:r>
          </w:p>
          <w:p>
            <w:pPr>
              <w:pStyle w:val="132"/>
              <w:spacing w:line="360" w:lineRule="auto"/>
              <w:ind w:firstLine="480"/>
              <w:textAlignment w:val="center"/>
              <w:rPr>
                <w:color w:val="000000" w:themeColor="text1"/>
                <w14:textFill>
                  <w14:solidFill>
                    <w14:schemeClr w14:val="tx1"/>
                  </w14:solidFill>
                </w14:textFill>
              </w:rPr>
            </w:pPr>
            <w:r>
              <w:rPr>
                <w:color w:val="000000" w:themeColor="text1"/>
                <w14:textFill>
                  <w14:solidFill>
                    <w14:schemeClr w14:val="tx1"/>
                  </w14:solidFill>
                </w14:textFill>
              </w:rPr>
              <w:t>③无指向性点声源几何发散衰减的基本公式是：</w:t>
            </w:r>
          </w:p>
          <w:p>
            <w:pPr>
              <w:pStyle w:val="132"/>
              <w:spacing w:line="360" w:lineRule="auto"/>
              <w:ind w:firstLine="480"/>
              <w:jc w:val="center"/>
              <w:textAlignment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36pt;width:133.7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26">
                  <o:LockedField>false</o:LockedField>
                </o:OLEObject>
              </w:object>
            </w:r>
          </w:p>
          <w:p>
            <w:pPr>
              <w:spacing w:line="360" w:lineRule="auto"/>
              <w:ind w:firstLine="480"/>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r>
              <w:rPr>
                <w:i/>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w:t>
            </w:r>
            <w:r>
              <w:rPr>
                <w:i/>
                <w:color w:val="000000" w:themeColor="text1"/>
                <w:sz w:val="24"/>
                <w14:textFill>
                  <w14:solidFill>
                    <w14:schemeClr w14:val="tx1"/>
                  </w14:solidFill>
                </w14:textFill>
              </w:rPr>
              <w:t>r</w:t>
            </w:r>
            <w:r>
              <w:rPr>
                <w:color w:val="000000" w:themeColor="text1"/>
                <w:sz w:val="24"/>
                <w14:textFill>
                  <w14:solidFill>
                    <w14:schemeClr w14:val="tx1"/>
                  </w14:solidFill>
                </w14:textFill>
              </w:rPr>
              <w:t>)—预测点处声压级，dB；</w:t>
            </w:r>
          </w:p>
          <w:p>
            <w:pPr>
              <w:spacing w:line="360" w:lineRule="auto"/>
              <w:ind w:firstLine="948" w:firstLineChars="395"/>
              <w:textAlignment w:val="center"/>
              <w:rPr>
                <w:color w:val="000000" w:themeColor="text1"/>
                <w:sz w:val="24"/>
                <w14:textFill>
                  <w14:solidFill>
                    <w14:schemeClr w14:val="tx1"/>
                  </w14:solidFill>
                </w14:textFill>
              </w:rPr>
            </w:pPr>
            <w:r>
              <w:rPr>
                <w:i/>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w:t>
            </w:r>
            <w:r>
              <w:rPr>
                <w:i/>
                <w:color w:val="000000" w:themeColor="text1"/>
                <w:sz w:val="24"/>
                <w14:textFill>
                  <w14:solidFill>
                    <w14:schemeClr w14:val="tx1"/>
                  </w14:solidFill>
                </w14:textFill>
              </w:rPr>
              <w:t>r</w:t>
            </w:r>
            <w:r>
              <w:rPr>
                <w:i/>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)—参考位置</w:t>
            </w:r>
            <w:r>
              <w:rPr>
                <w:i/>
                <w:color w:val="000000" w:themeColor="text1"/>
                <w:sz w:val="24"/>
                <w14:textFill>
                  <w14:solidFill>
                    <w14:schemeClr w14:val="tx1"/>
                  </w14:solidFill>
                </w14:textFill>
              </w:rPr>
              <w:t>r</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处的声压级，dB；</w:t>
            </w:r>
          </w:p>
          <w:p>
            <w:pPr>
              <w:pStyle w:val="132"/>
              <w:spacing w:line="360" w:lineRule="auto"/>
              <w:ind w:firstLine="916" w:firstLineChars="382"/>
              <w:textAlignment w:val="center"/>
              <w:rPr>
                <w:color w:val="000000" w:themeColor="text1"/>
                <w14:textFill>
                  <w14:solidFill>
                    <w14:schemeClr w14:val="tx1"/>
                  </w14:solidFill>
                </w14:textFill>
              </w:rPr>
            </w:pPr>
            <w:r>
              <w:rPr>
                <w:i/>
                <w:color w:val="000000" w:themeColor="text1"/>
                <w14:textFill>
                  <w14:solidFill>
                    <w14:schemeClr w14:val="tx1"/>
                  </w14:solidFill>
                </w14:textFill>
              </w:rPr>
              <w:t>r</w:t>
            </w:r>
            <w:r>
              <w:rPr>
                <w:color w:val="000000" w:themeColor="text1"/>
                <w14:textFill>
                  <w14:solidFill>
                    <w14:schemeClr w14:val="tx1"/>
                  </w14:solidFill>
                </w14:textFill>
              </w:rPr>
              <w:t>—预测点距声源的距离；</w:t>
            </w:r>
          </w:p>
          <w:p>
            <w:pPr>
              <w:pStyle w:val="132"/>
              <w:spacing w:line="360" w:lineRule="auto"/>
              <w:ind w:firstLine="916" w:firstLineChars="382"/>
              <w:textAlignment w:val="center"/>
              <w:rPr>
                <w:color w:val="000000" w:themeColor="text1"/>
                <w14:textFill>
                  <w14:solidFill>
                    <w14:schemeClr w14:val="tx1"/>
                  </w14:solidFill>
                </w14:textFill>
              </w:rPr>
            </w:pPr>
            <w:r>
              <w:rPr>
                <w:i/>
                <w:color w:val="000000" w:themeColor="text1"/>
                <w14:textFill>
                  <w14:solidFill>
                    <w14:schemeClr w14:val="tx1"/>
                  </w14:solidFill>
                </w14:textFill>
              </w:rPr>
              <w:t>r</w:t>
            </w:r>
            <w:r>
              <w:rPr>
                <w:color w:val="000000" w:themeColor="text1"/>
                <w:vertAlign w:val="subscript"/>
                <w14:textFill>
                  <w14:solidFill>
                    <w14:schemeClr w14:val="tx1"/>
                  </w14:solidFill>
                </w14:textFill>
              </w:rPr>
              <w:t>0</w:t>
            </w:r>
            <w:r>
              <w:rPr>
                <w:color w:val="000000" w:themeColor="text1"/>
                <w14:textFill>
                  <w14:solidFill>
                    <w14:schemeClr w14:val="tx1"/>
                  </w14:solidFill>
                </w14:textFill>
              </w:rPr>
              <w:t>—参考位置距声源的距离，m。</w:t>
            </w:r>
          </w:p>
          <w:p>
            <w:pPr>
              <w:pStyle w:val="133"/>
              <w:autoSpaceDE w:val="0"/>
              <w:autoSpaceDN w:val="0"/>
              <w:adjustRightInd/>
              <w:spacing w:line="360" w:lineRule="auto"/>
              <w:ind w:firstLine="480" w:firstLineChars="200"/>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④建设项目声源在预测点产生的等效声级贡献值</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i/>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eqg</w:t>
            </w:r>
            <w:r>
              <w:rPr>
                <w:rFonts w:hint="eastAsia" w:ascii="Times New Roman" w:hAnsi="Times New Roman"/>
                <w:color w:val="000000" w:themeColor="text1"/>
                <w:sz w:val="24"/>
                <w:szCs w:val="24"/>
                <w:vertAlign w:val="subscript"/>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计算公式：</w:t>
            </w:r>
          </w:p>
          <w:p>
            <w:pPr>
              <w:pStyle w:val="133"/>
              <w:autoSpaceDE w:val="0"/>
              <w:autoSpaceDN w:val="0"/>
              <w:snapToGrid w:val="0"/>
              <w:spacing w:line="360" w:lineRule="auto"/>
              <w:ind w:firstLine="198"/>
              <w:jc w:val="center"/>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object>
                <v:shape id="_x0000_i1029" o:spt="75" type="#_x0000_t75" style="height:41.15pt;width:144pt;" o:ole="t"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29" r:id="rId28">
                  <o:LockedField>false</o:LockedField>
                </o:OLEObject>
              </w:object>
            </w:r>
          </w:p>
          <w:p>
            <w:pPr>
              <w:pStyle w:val="133"/>
              <w:autoSpaceDE w:val="0"/>
              <w:autoSpaceDN w:val="0"/>
              <w:adjustRightInd/>
              <w:spacing w:line="360" w:lineRule="auto"/>
              <w:ind w:firstLine="480" w:firstLineChars="200"/>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w:t>
            </w:r>
            <w:r>
              <w:rPr>
                <w:rFonts w:ascii="Times New Roman" w:hAnsi="Times New Roman"/>
                <w:i/>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eqg</w:t>
            </w:r>
            <w:r>
              <w:rPr>
                <w:rFonts w:ascii="Times New Roman" w:hAnsi="Times New Roman"/>
                <w:color w:val="000000" w:themeColor="text1"/>
                <w:sz w:val="24"/>
                <w:szCs w:val="24"/>
                <w14:textFill>
                  <w14:solidFill>
                    <w14:schemeClr w14:val="tx1"/>
                  </w14:solidFill>
                </w14:textFill>
              </w:rPr>
              <w:t>—建设项目声源在预测点的等效声级贡献值，dB(A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w:t>
            </w:r>
          </w:p>
          <w:p>
            <w:pPr>
              <w:pStyle w:val="133"/>
              <w:autoSpaceDE w:val="0"/>
              <w:autoSpaceDN w:val="0"/>
              <w:adjustRightInd/>
              <w:spacing w:line="360" w:lineRule="auto"/>
              <w:ind w:firstLine="480" w:firstLineChars="200"/>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i/>
                <w:color w:val="000000" w:themeColor="text1"/>
                <w:sz w:val="24"/>
                <w:szCs w:val="24"/>
                <w14:textFill>
                  <w14:solidFill>
                    <w14:schemeClr w14:val="tx1"/>
                  </w14:solidFill>
                </w14:textFill>
              </w:rPr>
              <w:t xml:space="preserve">      L</w:t>
            </w:r>
            <w:r>
              <w:rPr>
                <w:rFonts w:ascii="Times New Roman" w:hAnsi="Times New Roman"/>
                <w:color w:val="000000" w:themeColor="text1"/>
                <w:sz w:val="24"/>
                <w:szCs w:val="24"/>
                <w:vertAlign w:val="subscript"/>
                <w14:textFill>
                  <w14:solidFill>
                    <w14:schemeClr w14:val="tx1"/>
                  </w14:solidFill>
                </w14:textFill>
              </w:rPr>
              <w:t>Ai</w:t>
            </w:r>
            <w:r>
              <w:rPr>
                <w:rFonts w:ascii="Times New Roman" w:hAnsi="Times New Roman"/>
                <w:color w:val="000000" w:themeColor="text1"/>
                <w:sz w:val="24"/>
                <w:szCs w:val="24"/>
                <w14:textFill>
                  <w14:solidFill>
                    <w14:schemeClr w14:val="tx1"/>
                  </w14:solidFill>
                </w14:textFill>
              </w:rPr>
              <w:t>—</w:t>
            </w:r>
            <w:r>
              <w:rPr>
                <w:rFonts w:ascii="Times New Roman" w:hAnsi="Times New Roman"/>
                <w:i/>
                <w:color w:val="000000" w:themeColor="text1"/>
                <w:sz w:val="24"/>
                <w:szCs w:val="24"/>
                <w14:textFill>
                  <w14:solidFill>
                    <w14:schemeClr w14:val="tx1"/>
                  </w14:solidFill>
                </w14:textFill>
              </w:rPr>
              <w:t>i</w:t>
            </w:r>
            <w:r>
              <w:rPr>
                <w:rFonts w:ascii="Times New Roman" w:hAnsi="Times New Roman"/>
                <w:color w:val="000000" w:themeColor="text1"/>
                <w:sz w:val="24"/>
                <w:szCs w:val="24"/>
                <w14:textFill>
                  <w14:solidFill>
                    <w14:schemeClr w14:val="tx1"/>
                  </w14:solidFill>
                </w14:textFill>
              </w:rPr>
              <w:t>声源在预测点产生的A声级，dB(A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w:t>
            </w:r>
          </w:p>
          <w:p>
            <w:pPr>
              <w:pStyle w:val="133"/>
              <w:autoSpaceDE w:val="0"/>
              <w:autoSpaceDN w:val="0"/>
              <w:adjustRightInd/>
              <w:spacing w:line="360" w:lineRule="auto"/>
              <w:ind w:firstLine="480" w:firstLineChars="200"/>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i/>
                <w:color w:val="000000" w:themeColor="text1"/>
                <w:sz w:val="24"/>
                <w:szCs w:val="24"/>
                <w14:textFill>
                  <w14:solidFill>
                    <w14:schemeClr w14:val="tx1"/>
                  </w14:solidFill>
                </w14:textFill>
              </w:rPr>
              <w:t xml:space="preserve">     T</w:t>
            </w:r>
            <w:r>
              <w:rPr>
                <w:rFonts w:ascii="Times New Roman" w:hAnsi="Times New Roman"/>
                <w:color w:val="000000" w:themeColor="text1"/>
                <w:sz w:val="24"/>
                <w:szCs w:val="24"/>
                <w14:textFill>
                  <w14:solidFill>
                    <w14:schemeClr w14:val="tx1"/>
                  </w14:solidFill>
                </w14:textFill>
              </w:rPr>
              <w:t>—预测计算的时间段，s；</w:t>
            </w:r>
          </w:p>
          <w:p>
            <w:pPr>
              <w:pStyle w:val="132"/>
              <w:spacing w:line="360" w:lineRule="auto"/>
              <w:ind w:firstLine="480"/>
              <w:textAlignment w:val="center"/>
              <w:rPr>
                <w:color w:val="000000" w:themeColor="text1"/>
                <w14:textFill>
                  <w14:solidFill>
                    <w14:schemeClr w14:val="tx1"/>
                  </w14:solidFill>
                </w14:textFill>
              </w:rPr>
            </w:pPr>
            <w:r>
              <w:rPr>
                <w:i/>
                <w:color w:val="000000" w:themeColor="text1"/>
                <w14:textFill>
                  <w14:solidFill>
                    <w14:schemeClr w14:val="tx1"/>
                  </w14:solidFill>
                </w14:textFill>
              </w:rPr>
              <w:t xml:space="preserve">     t</w:t>
            </w:r>
            <w:r>
              <w:rPr>
                <w:color w:val="000000" w:themeColor="text1"/>
                <w:vertAlign w:val="subscript"/>
                <w14:textFill>
                  <w14:solidFill>
                    <w14:schemeClr w14:val="tx1"/>
                  </w14:solidFill>
                </w14:textFill>
              </w:rPr>
              <w:t>i</w:t>
            </w:r>
            <w:r>
              <w:rPr>
                <w:color w:val="000000" w:themeColor="text1"/>
                <w14:textFill>
                  <w14:solidFill>
                    <w14:schemeClr w14:val="tx1"/>
                  </w14:solidFill>
                </w14:textFill>
              </w:rPr>
              <w:t>—</w:t>
            </w:r>
            <w:r>
              <w:rPr>
                <w:i/>
                <w:color w:val="000000" w:themeColor="text1"/>
                <w14:textFill>
                  <w14:solidFill>
                    <w14:schemeClr w14:val="tx1"/>
                  </w14:solidFill>
                </w14:textFill>
              </w:rPr>
              <w:t>i</w:t>
            </w:r>
            <w:r>
              <w:rPr>
                <w:color w:val="000000" w:themeColor="text1"/>
                <w14:textFill>
                  <w14:solidFill>
                    <w14:schemeClr w14:val="tx1"/>
                  </w14:solidFill>
                </w14:textFill>
              </w:rPr>
              <w:t>声源在T时段内的运行时间，s。</w:t>
            </w:r>
          </w:p>
          <w:p>
            <w:pPr>
              <w:pStyle w:val="133"/>
              <w:autoSpaceDE w:val="0"/>
              <w:autoSpaceDN w:val="0"/>
              <w:adjustRightInd/>
              <w:spacing w:line="360" w:lineRule="auto"/>
              <w:ind w:firstLine="480" w:firstLineChars="200"/>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预测点的预测等效声级</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eq</w:t>
            </w:r>
            <w:r>
              <w:rPr>
                <w:rFonts w:hint="eastAsia" w:ascii="Times New Roman" w:hAnsi="Times New Roman"/>
                <w:color w:val="000000" w:themeColor="text1"/>
                <w:sz w:val="24"/>
                <w:szCs w:val="24"/>
                <w:vertAlign w:val="subscript"/>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计算公式： </w:t>
            </w:r>
          </w:p>
          <w:p>
            <w:pPr>
              <w:autoSpaceDE w:val="0"/>
              <w:autoSpaceDN w:val="0"/>
              <w:spacing w:line="360" w:lineRule="auto"/>
              <w:ind w:firstLine="480"/>
              <w:jc w:val="center"/>
              <w:textAlignment w:val="center"/>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30" o:spt="75" type="#_x0000_t75" style="height:25.7pt;width:185.15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p>
          <w:p>
            <w:pPr>
              <w:pStyle w:val="133"/>
              <w:autoSpaceDE w:val="0"/>
              <w:autoSpaceDN w:val="0"/>
              <w:adjustRightInd/>
              <w:spacing w:line="360" w:lineRule="auto"/>
              <w:ind w:firstLine="480" w:firstLineChars="200"/>
              <w:textAlignment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式中：</w:t>
            </w:r>
            <w:r>
              <w:rPr>
                <w:rFonts w:ascii="Times New Roman" w:hAnsi="Times New Roman"/>
                <w:i/>
                <w:color w:val="000000" w:themeColor="text1"/>
                <w:sz w:val="24"/>
                <w:szCs w:val="24"/>
                <w14:textFill>
                  <w14:solidFill>
                    <w14:schemeClr w14:val="tx1"/>
                  </w14:solidFill>
                </w14:textFill>
              </w:rPr>
              <w:t>L</w:t>
            </w:r>
            <w:r>
              <w:rPr>
                <w:rFonts w:ascii="Times New Roman" w:hAnsi="Times New Roman"/>
                <w:color w:val="000000" w:themeColor="text1"/>
                <w:sz w:val="24"/>
                <w:szCs w:val="24"/>
                <w:vertAlign w:val="subscript"/>
                <w14:textFill>
                  <w14:solidFill>
                    <w14:schemeClr w14:val="tx1"/>
                  </w14:solidFill>
                </w14:textFill>
              </w:rPr>
              <w:t>eqg</w:t>
            </w:r>
            <w:r>
              <w:rPr>
                <w:rFonts w:ascii="Times New Roman" w:hAnsi="Times New Roman"/>
                <w:color w:val="000000" w:themeColor="text1"/>
                <w:sz w:val="24"/>
                <w:szCs w:val="24"/>
                <w14:textFill>
                  <w14:solidFill>
                    <w14:schemeClr w14:val="tx1"/>
                  </w14:solidFill>
                </w14:textFill>
              </w:rPr>
              <w:t>—建设项目声源在预测点的等效声级贡献值，dB(A</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 xml:space="preserve">； </w:t>
            </w:r>
          </w:p>
          <w:p>
            <w:pPr>
              <w:pStyle w:val="134"/>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eqb</w:t>
            </w:r>
            <w:r>
              <w:rPr>
                <w:color w:val="000000" w:themeColor="text1"/>
                <w14:textFill>
                  <w14:solidFill>
                    <w14:schemeClr w14:val="tx1"/>
                  </w14:solidFill>
                </w14:textFill>
              </w:rPr>
              <w:t>—预测点的背景值，dB(A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⑤户外声传播衰减计算</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户外声传播衰减包括几何发散（A</w:t>
            </w:r>
            <w:r>
              <w:rPr>
                <w:color w:val="000000" w:themeColor="text1"/>
                <w:sz w:val="24"/>
                <w:vertAlign w:val="subscript"/>
                <w14:textFill>
                  <w14:solidFill>
                    <w14:schemeClr w14:val="tx1"/>
                  </w14:solidFill>
                </w14:textFill>
              </w:rPr>
              <w:t>div</w:t>
            </w:r>
            <w:r>
              <w:rPr>
                <w:color w:val="000000" w:themeColor="text1"/>
                <w:sz w:val="24"/>
                <w14:textFill>
                  <w14:solidFill>
                    <w14:schemeClr w14:val="tx1"/>
                  </w14:solidFill>
                </w14:textFill>
              </w:rPr>
              <w:t>）、大气吸收（A</w:t>
            </w:r>
            <w:r>
              <w:rPr>
                <w:color w:val="000000" w:themeColor="text1"/>
                <w:sz w:val="24"/>
                <w:vertAlign w:val="subscript"/>
                <w14:textFill>
                  <w14:solidFill>
                    <w14:schemeClr w14:val="tx1"/>
                  </w14:solidFill>
                </w14:textFill>
              </w:rPr>
              <w:t>atm</w:t>
            </w:r>
            <w:r>
              <w:rPr>
                <w:color w:val="000000" w:themeColor="text1"/>
                <w:sz w:val="24"/>
                <w14:textFill>
                  <w14:solidFill>
                    <w14:schemeClr w14:val="tx1"/>
                  </w14:solidFill>
                </w14:textFill>
              </w:rPr>
              <w:t>）、地面效应（A</w:t>
            </w:r>
            <w:r>
              <w:rPr>
                <w:color w:val="000000" w:themeColor="text1"/>
                <w:sz w:val="24"/>
                <w:vertAlign w:val="subscript"/>
                <w14:textFill>
                  <w14:solidFill>
                    <w14:schemeClr w14:val="tx1"/>
                  </w14:solidFill>
                </w14:textFill>
              </w:rPr>
              <w:t>gr</w:t>
            </w:r>
            <w:r>
              <w:rPr>
                <w:color w:val="000000" w:themeColor="text1"/>
                <w:sz w:val="24"/>
                <w14:textFill>
                  <w14:solidFill>
                    <w14:schemeClr w14:val="tx1"/>
                  </w14:solidFill>
                </w14:textFill>
              </w:rPr>
              <w:t>）、屏障屏蔽（A</w:t>
            </w:r>
            <w:r>
              <w:rPr>
                <w:color w:val="000000" w:themeColor="text1"/>
                <w:sz w:val="24"/>
                <w:vertAlign w:val="subscript"/>
                <w14:textFill>
                  <w14:solidFill>
                    <w14:schemeClr w14:val="tx1"/>
                  </w14:solidFill>
                </w14:textFill>
              </w:rPr>
              <w:t>bar</w:t>
            </w:r>
            <w:r>
              <w:rPr>
                <w:color w:val="000000" w:themeColor="text1"/>
                <w:sz w:val="24"/>
                <w14:textFill>
                  <w14:solidFill>
                    <w14:schemeClr w14:val="tx1"/>
                  </w14:solidFill>
                </w14:textFill>
              </w:rPr>
              <w:t>）、其他多方面效应（A</w:t>
            </w:r>
            <w:r>
              <w:rPr>
                <w:color w:val="000000" w:themeColor="text1"/>
                <w:sz w:val="24"/>
                <w:vertAlign w:val="subscript"/>
                <w14:textFill>
                  <w14:solidFill>
                    <w14:schemeClr w14:val="tx1"/>
                  </w14:solidFill>
                </w14:textFill>
              </w:rPr>
              <w:t>misc</w:t>
            </w:r>
            <w:r>
              <w:rPr>
                <w:color w:val="000000" w:themeColor="text1"/>
                <w:sz w:val="24"/>
                <w14:textFill>
                  <w14:solidFill>
                    <w14:schemeClr w14:val="tx1"/>
                  </w14:solidFill>
                </w14:textFill>
              </w:rPr>
              <w:t>）引起的衰减。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距声源点r处的A声级按下式计算：</w:t>
            </w:r>
          </w:p>
          <w:p>
            <w:pPr>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drawing>
                <wp:inline distT="0" distB="0" distL="0" distR="0">
                  <wp:extent cx="3932555" cy="331470"/>
                  <wp:effectExtent l="0" t="0" r="10795" b="11430"/>
                  <wp:docPr id="76"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44"/>
                          <pic:cNvPicPr>
                            <a:picLocks noChangeAspect="1" noChangeArrowheads="1"/>
                          </pic:cNvPicPr>
                        </pic:nvPicPr>
                        <pic:blipFill>
                          <a:blip r:embed="rId32"/>
                          <a:srcRect/>
                          <a:stretch>
                            <a:fillRect/>
                          </a:stretch>
                        </pic:blipFill>
                        <pic:spPr>
                          <a:xfrm>
                            <a:off x="0" y="0"/>
                            <a:ext cx="3932555" cy="331470"/>
                          </a:xfrm>
                          <a:prstGeom prst="rect">
                            <a:avLst/>
                          </a:prstGeom>
                          <a:noFill/>
                          <a:ln w="9525">
                            <a:noFill/>
                            <a:miter lim="800000"/>
                            <a:headEnd/>
                            <a:tailEnd/>
                          </a:ln>
                        </pic:spPr>
                      </pic:pic>
                    </a:graphicData>
                  </a:graphic>
                </wp:inline>
              </w:drawing>
            </w:r>
          </w:p>
          <w:p>
            <w:pPr>
              <w:spacing w:line="360" w:lineRule="auto"/>
              <w:ind w:firstLine="480" w:firstLineChars="200"/>
              <w:jc w:val="left"/>
              <w:rPr>
                <w:b/>
                <w:bCs/>
                <w:color w:val="000000" w:themeColor="text1"/>
                <w:szCs w:val="21"/>
                <w:lang w:val="zh-CN"/>
                <w14:textFill>
                  <w14:solidFill>
                    <w14:schemeClr w14:val="tx1"/>
                  </w14:solidFill>
                </w14:textFill>
              </w:rPr>
            </w:pPr>
            <w:r>
              <w:rPr>
                <w:color w:val="000000" w:themeColor="text1"/>
                <w:sz w:val="24"/>
                <w14:textFill>
                  <w14:solidFill>
                    <w14:schemeClr w14:val="tx1"/>
                  </w14:solidFill>
                </w14:textFill>
              </w:rPr>
              <w:t>在预测中考虑反射引起的修正、屏障引起的衰减、双绕射、室内声源等效室外声源等影响和计算方法。</w:t>
            </w:r>
          </w:p>
          <w:p>
            <w:pPr>
              <w:spacing w:line="240" w:lineRule="auto"/>
              <w:ind w:firstLine="422" w:firstLineChars="200"/>
              <w:jc w:val="center"/>
              <w:rPr>
                <w:b/>
                <w:bCs/>
                <w:color w:val="000000" w:themeColor="text1"/>
                <w:szCs w:val="21"/>
                <w14:textFill>
                  <w14:solidFill>
                    <w14:schemeClr w14:val="tx1"/>
                  </w14:solidFill>
                </w14:textFill>
              </w:rPr>
            </w:pPr>
            <w:r>
              <w:rPr>
                <w:b/>
                <w:bCs/>
                <w:color w:val="000000" w:themeColor="text1"/>
                <w:szCs w:val="21"/>
                <w:lang w:val="zh-CN"/>
                <w14:textFill>
                  <w14:solidFill>
                    <w14:schemeClr w14:val="tx1"/>
                  </w14:solidFill>
                </w14:textFill>
              </w:rPr>
              <w:t>表4-</w:t>
            </w:r>
            <w:r>
              <w:rPr>
                <w:rFonts w:hint="eastAsia"/>
                <w:b/>
                <w:bCs/>
                <w:color w:val="000000" w:themeColor="text1"/>
                <w:szCs w:val="21"/>
                <w:lang w:val="en-US" w:eastAsia="zh-CN"/>
                <w14:textFill>
                  <w14:solidFill>
                    <w14:schemeClr w14:val="tx1"/>
                  </w14:solidFill>
                </w14:textFill>
              </w:rPr>
              <w:t xml:space="preserve">11  </w:t>
            </w:r>
            <w:r>
              <w:rPr>
                <w:b/>
                <w:bCs/>
                <w:color w:val="000000" w:themeColor="text1"/>
                <w:szCs w:val="21"/>
                <w:lang w:val="zh-CN"/>
                <w14:textFill>
                  <w14:solidFill>
                    <w14:schemeClr w14:val="tx1"/>
                  </w14:solidFill>
                </w14:textFill>
              </w:rPr>
              <w:t>主要噪声</w:t>
            </w:r>
            <w:r>
              <w:rPr>
                <w:rFonts w:hint="eastAsia"/>
                <w:b/>
                <w:bCs/>
                <w:color w:val="000000" w:themeColor="text1"/>
                <w:szCs w:val="21"/>
                <w14:textFill>
                  <w14:solidFill>
                    <w14:schemeClr w14:val="tx1"/>
                  </w14:solidFill>
                </w14:textFill>
              </w:rPr>
              <w:t>影响预测结果</w:t>
            </w:r>
          </w:p>
          <w:tbl>
            <w:tblPr>
              <w:tblStyle w:val="36"/>
              <w:tblW w:w="876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291"/>
              <w:gridCol w:w="1295"/>
              <w:gridCol w:w="1209"/>
              <w:gridCol w:w="1158"/>
              <w:gridCol w:w="1219"/>
              <w:gridCol w:w="1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91" w:type="dxa"/>
                  <w:vMerge w:val="restart"/>
                  <w:vAlign w:val="center"/>
                </w:tcPr>
                <w:p>
                  <w:pPr>
                    <w:snapToGrid w:val="0"/>
                    <w:spacing w:line="240" w:lineRule="auto"/>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预测点</w:t>
                  </w:r>
                </w:p>
              </w:tc>
              <w:tc>
                <w:tcPr>
                  <w:tcW w:w="2586" w:type="dxa"/>
                  <w:gridSpan w:val="2"/>
                  <w:vAlign w:val="center"/>
                </w:tcPr>
                <w:p>
                  <w:pPr>
                    <w:snapToGrid w:val="0"/>
                    <w:spacing w:line="240" w:lineRule="auto"/>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贡献值/dB（A）</w:t>
                  </w:r>
                </w:p>
              </w:tc>
              <w:tc>
                <w:tcPr>
                  <w:tcW w:w="2367" w:type="dxa"/>
                  <w:gridSpan w:val="2"/>
                  <w:vAlign w:val="center"/>
                </w:tcPr>
                <w:p>
                  <w:pPr>
                    <w:snapToGrid w:val="0"/>
                    <w:spacing w:line="240" w:lineRule="auto"/>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噪声标准/dB（A）</w:t>
                  </w:r>
                </w:p>
              </w:tc>
              <w:tc>
                <w:tcPr>
                  <w:tcW w:w="2424" w:type="dxa"/>
                  <w:gridSpan w:val="2"/>
                  <w:vAlign w:val="center"/>
                </w:tcPr>
                <w:p>
                  <w:pPr>
                    <w:snapToGrid w:val="0"/>
                    <w:spacing w:line="240" w:lineRule="auto"/>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391" w:type="dxa"/>
                  <w:vMerge w:val="continue"/>
                  <w:vAlign w:val="center"/>
                </w:tcPr>
                <w:p>
                  <w:pPr>
                    <w:spacing w:line="240" w:lineRule="auto"/>
                    <w:rPr>
                      <w:rFonts w:eastAsia="等线"/>
                      <w:color w:val="000000" w:themeColor="text1"/>
                      <w:sz w:val="20"/>
                      <w:szCs w:val="20"/>
                      <w14:textFill>
                        <w14:solidFill>
                          <w14:schemeClr w14:val="tx1"/>
                        </w14:solidFill>
                      </w14:textFill>
                    </w:rPr>
                  </w:pPr>
                </w:p>
              </w:tc>
              <w:tc>
                <w:tcPr>
                  <w:tcW w:w="1291" w:type="dxa"/>
                  <w:vAlign w:val="center"/>
                </w:tcPr>
                <w:p>
                  <w:pPr>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昼间</w:t>
                  </w:r>
                </w:p>
              </w:tc>
              <w:tc>
                <w:tcPr>
                  <w:tcW w:w="1295" w:type="dxa"/>
                  <w:vAlign w:val="center"/>
                </w:tcPr>
                <w:p>
                  <w:pPr>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夜间</w:t>
                  </w:r>
                </w:p>
              </w:tc>
              <w:tc>
                <w:tcPr>
                  <w:tcW w:w="1209" w:type="dxa"/>
                  <w:vAlign w:val="center"/>
                </w:tcPr>
                <w:p>
                  <w:pPr>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昼间</w:t>
                  </w:r>
                </w:p>
              </w:tc>
              <w:tc>
                <w:tcPr>
                  <w:tcW w:w="1158" w:type="dxa"/>
                  <w:vAlign w:val="center"/>
                </w:tcPr>
                <w:p>
                  <w:pPr>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夜间</w:t>
                  </w:r>
                </w:p>
              </w:tc>
              <w:tc>
                <w:tcPr>
                  <w:tcW w:w="1219" w:type="dxa"/>
                  <w:vAlign w:val="center"/>
                </w:tcPr>
                <w:p>
                  <w:pPr>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昼间</w:t>
                  </w:r>
                </w:p>
              </w:tc>
              <w:tc>
                <w:tcPr>
                  <w:tcW w:w="1205" w:type="dxa"/>
                  <w:vAlign w:val="center"/>
                </w:tcPr>
                <w:p>
                  <w:pPr>
                    <w:snapToGrid w:val="0"/>
                    <w:spacing w:line="24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391"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厂界东</w:t>
                  </w:r>
                </w:p>
              </w:tc>
              <w:tc>
                <w:tcPr>
                  <w:tcW w:w="1291" w:type="dxa"/>
                  <w:vAlign w:val="center"/>
                </w:tcPr>
                <w:p>
                  <w:pPr>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24.21</w:t>
                  </w:r>
                </w:p>
              </w:tc>
              <w:tc>
                <w:tcPr>
                  <w:tcW w:w="1295" w:type="dxa"/>
                  <w:shd w:val="clear" w:color="auto" w:fill="auto"/>
                  <w:vAlign w:val="center"/>
                </w:tcPr>
                <w:p>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24.21</w:t>
                  </w:r>
                </w:p>
              </w:tc>
              <w:tc>
                <w:tcPr>
                  <w:tcW w:w="120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1158"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121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1205"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391"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厂界南</w:t>
                  </w:r>
                </w:p>
              </w:tc>
              <w:tc>
                <w:tcPr>
                  <w:tcW w:w="1291" w:type="dxa"/>
                  <w:vAlign w:val="center"/>
                </w:tcPr>
                <w:p>
                  <w:pPr>
                    <w:spacing w:line="240" w:lineRule="auto"/>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25.37</w:t>
                  </w:r>
                </w:p>
              </w:tc>
              <w:tc>
                <w:tcPr>
                  <w:tcW w:w="1295" w:type="dxa"/>
                  <w:shd w:val="clear" w:color="auto" w:fill="auto"/>
                  <w:vAlign w:val="center"/>
                </w:tcPr>
                <w:p>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25.37</w:t>
                  </w:r>
                </w:p>
              </w:tc>
              <w:tc>
                <w:tcPr>
                  <w:tcW w:w="120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158"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21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1205"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391"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厂界西</w:t>
                  </w:r>
                </w:p>
              </w:tc>
              <w:tc>
                <w:tcPr>
                  <w:tcW w:w="1291" w:type="dxa"/>
                  <w:vAlign w:val="center"/>
                </w:tcPr>
                <w:p>
                  <w:pPr>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44.21</w:t>
                  </w:r>
                </w:p>
              </w:tc>
              <w:tc>
                <w:tcPr>
                  <w:tcW w:w="1295" w:type="dxa"/>
                  <w:shd w:val="clear" w:color="auto" w:fill="auto"/>
                  <w:vAlign w:val="center"/>
                </w:tcPr>
                <w:p>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44.21</w:t>
                  </w:r>
                </w:p>
              </w:tc>
              <w:tc>
                <w:tcPr>
                  <w:tcW w:w="120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1158"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121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1205"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1391"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厂界北</w:t>
                  </w:r>
                </w:p>
              </w:tc>
              <w:tc>
                <w:tcPr>
                  <w:tcW w:w="1291" w:type="dxa"/>
                  <w:vAlign w:val="center"/>
                </w:tcPr>
                <w:p>
                  <w:pPr>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38.76</w:t>
                  </w:r>
                </w:p>
              </w:tc>
              <w:tc>
                <w:tcPr>
                  <w:tcW w:w="1295" w:type="dxa"/>
                  <w:shd w:val="clear" w:color="auto" w:fill="auto"/>
                  <w:vAlign w:val="center"/>
                </w:tcPr>
                <w:p>
                  <w:pPr>
                    <w:spacing w:line="24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38.76</w:t>
                  </w:r>
                </w:p>
              </w:tc>
              <w:tc>
                <w:tcPr>
                  <w:tcW w:w="120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158" w:type="dxa"/>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219"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c>
                <w:tcPr>
                  <w:tcW w:w="1205" w:type="dxa"/>
                  <w:shd w:val="clear" w:color="auto" w:fill="auto"/>
                  <w:vAlign w:val="center"/>
                </w:tcPr>
                <w:p>
                  <w:pPr>
                    <w:spacing w:line="24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达标</w:t>
                  </w:r>
                </w:p>
              </w:tc>
            </w:tr>
          </w:tbl>
          <w:p>
            <w:pPr>
              <w:adjustRightInd w:val="0"/>
              <w:snapToGrid w:val="0"/>
              <w:spacing w:line="360" w:lineRule="auto"/>
              <w:ind w:firstLine="440" w:firstLineChars="200"/>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w:t>
            </w:r>
            <w:r>
              <w:rPr>
                <w:rFonts w:hint="eastAsia"/>
                <w:bCs/>
                <w:color w:val="000000" w:themeColor="text1"/>
                <w:spacing w:val="-10"/>
                <w:sz w:val="24"/>
                <w14:textFill>
                  <w14:solidFill>
                    <w14:schemeClr w14:val="tx1"/>
                  </w14:solidFill>
                </w14:textFill>
              </w:rPr>
              <w:t>3</w:t>
            </w:r>
            <w:r>
              <w:rPr>
                <w:bCs/>
                <w:color w:val="000000" w:themeColor="text1"/>
                <w:spacing w:val="-10"/>
                <w:sz w:val="24"/>
                <w14:textFill>
                  <w14:solidFill>
                    <w14:schemeClr w14:val="tx1"/>
                  </w14:solidFill>
                </w14:textFill>
              </w:rPr>
              <w:t>）达标情况分析</w:t>
            </w:r>
          </w:p>
          <w:p>
            <w:pPr>
              <w:pStyle w:val="34"/>
              <w:keepNext w:val="0"/>
              <w:keepLines w:val="0"/>
              <w:widowControl w:val="0"/>
              <w:suppressLineNumbers w:val="0"/>
              <w:snapToGrid/>
              <w:spacing w:before="0" w:beforeAutospacing="0" w:after="0" w:afterAutospacing="0" w:line="360" w:lineRule="auto"/>
              <w:ind w:left="0" w:right="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通过</w:t>
            </w:r>
            <w:r>
              <w:rPr>
                <w:rFonts w:hint="default" w:ascii="Times New Roman" w:hAnsi="Times New Roman" w:eastAsia="宋体" w:cs="Times New Roman"/>
                <w:color w:val="auto"/>
                <w:sz w:val="24"/>
                <w:szCs w:val="24"/>
                <w:highlight w:val="none"/>
                <w:lang w:val="en-US" w:eastAsia="zh-CN"/>
              </w:rPr>
              <w:t>选用低噪声设备，基础减振</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隔声</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措施，</w:t>
            </w:r>
            <w:r>
              <w:rPr>
                <w:rFonts w:hint="eastAsia"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厂界噪声</w:t>
            </w:r>
            <w:r>
              <w:rPr>
                <w:rFonts w:hint="eastAsia"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lang w:val="en-US" w:eastAsia="zh-CN"/>
              </w:rPr>
              <w:t>《工业企业厂界环境噪声排放标准》(GB12348-2008</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表1中</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类</w:t>
            </w:r>
            <w:r>
              <w:rPr>
                <w:rFonts w:hint="eastAsia" w:ascii="Times New Roman" w:hAnsi="Times New Roman" w:eastAsia="宋体" w:cs="Times New Roman"/>
                <w:color w:val="auto"/>
                <w:sz w:val="24"/>
                <w:szCs w:val="24"/>
                <w:highlight w:val="none"/>
                <w:lang w:val="en-US" w:eastAsia="zh-CN"/>
              </w:rPr>
              <w:t>。</w:t>
            </w:r>
          </w:p>
          <w:p>
            <w:pPr>
              <w:pStyle w:val="34"/>
              <w:keepNext w:val="0"/>
              <w:keepLines w:val="0"/>
              <w:widowControl w:val="0"/>
              <w:suppressLineNumbers w:val="0"/>
              <w:snapToGrid/>
              <w:spacing w:before="0" w:beforeAutospacing="0" w:after="0" w:afterAutospacing="0" w:line="360" w:lineRule="auto"/>
              <w:ind w:left="0" w:right="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结合</w:t>
            </w:r>
            <w:r>
              <w:rPr>
                <w:rFonts w:hint="default" w:ascii="Times New Roman" w:hAnsi="Times New Roman" w:cs="Times New Roman"/>
                <w:color w:val="auto"/>
                <w:sz w:val="24"/>
                <w:szCs w:val="24"/>
                <w:highlight w:val="none"/>
                <w:lang w:val="en-US" w:eastAsia="zh-CN"/>
              </w:rPr>
              <w:t>黑龙江</w:t>
            </w:r>
            <w:r>
              <w:rPr>
                <w:rFonts w:hint="eastAsia" w:ascii="Times New Roman" w:hAnsi="Times New Roman" w:cs="Times New Roman"/>
                <w:color w:val="auto"/>
                <w:sz w:val="24"/>
                <w:szCs w:val="24"/>
                <w:highlight w:val="none"/>
                <w:lang w:val="en-US" w:eastAsia="zh-CN"/>
              </w:rPr>
              <w:t>汇川检测</w:t>
            </w:r>
            <w:r>
              <w:rPr>
                <w:rFonts w:hint="default" w:ascii="Times New Roman" w:hAnsi="Times New Roman" w:cs="Times New Roman"/>
                <w:color w:val="auto"/>
                <w:sz w:val="24"/>
                <w:szCs w:val="24"/>
                <w:highlight w:val="none"/>
                <w:lang w:val="en-US" w:eastAsia="zh-CN"/>
              </w:rPr>
              <w:t>有限公司</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日出具的敏感点现状检测报告，经上述公式计算，噪声预测结果见下表。</w:t>
            </w:r>
          </w:p>
          <w:p>
            <w:pPr>
              <w:wordWrap w:val="0"/>
              <w:adjustRightInd w:val="0"/>
              <w:snapToGrid w:val="0"/>
              <w:spacing w:line="240" w:lineRule="auto"/>
              <w:jc w:val="center"/>
              <w:rPr>
                <w:rFonts w:hint="default" w:ascii="Times New Roman" w:hAnsi="Times New Roman"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u w:val="none"/>
                <w:lang w:val="en-US" w:eastAsia="zh-CN"/>
              </w:rPr>
              <w:t>表4-</w:t>
            </w:r>
            <w:r>
              <w:rPr>
                <w:rFonts w:hint="eastAsia" w:eastAsia="宋体" w:cs="Times New Roman"/>
                <w:b/>
                <w:color w:val="auto"/>
                <w:sz w:val="21"/>
                <w:szCs w:val="21"/>
                <w:highlight w:val="none"/>
                <w:u w:val="none"/>
                <w:lang w:val="en-US" w:eastAsia="zh-CN"/>
              </w:rPr>
              <w:t>1</w:t>
            </w:r>
            <w:r>
              <w:rPr>
                <w:rFonts w:hint="eastAsia" w:cs="Times New Roman"/>
                <w:b/>
                <w:color w:val="auto"/>
                <w:sz w:val="21"/>
                <w:szCs w:val="21"/>
                <w:highlight w:val="none"/>
                <w:u w:val="none"/>
                <w:lang w:val="en-US" w:eastAsia="zh-CN"/>
              </w:rPr>
              <w:t>2</w:t>
            </w:r>
            <w:r>
              <w:rPr>
                <w:rFonts w:hint="eastAsia" w:ascii="Times New Roman" w:hAnsi="Times New Roman" w:eastAsia="宋体" w:cs="Times New Roman"/>
                <w:b/>
                <w:color w:val="auto"/>
                <w:sz w:val="21"/>
                <w:szCs w:val="21"/>
                <w:highlight w:val="none"/>
                <w:u w:val="none"/>
                <w:lang w:val="en-US" w:eastAsia="zh-CN"/>
              </w:rPr>
              <w:t xml:space="preserve"> </w:t>
            </w:r>
            <w:r>
              <w:rPr>
                <w:rFonts w:hint="default" w:ascii="Times New Roman" w:hAnsi="Times New Roman" w:eastAsia="宋体" w:cs="Times New Roman"/>
                <w:b/>
                <w:color w:val="auto"/>
                <w:sz w:val="21"/>
                <w:szCs w:val="21"/>
                <w:highlight w:val="none"/>
                <w:u w:val="none"/>
                <w:lang w:val="en-US" w:eastAsia="zh-CN"/>
              </w:rPr>
              <w:t>敏感点噪声预测结果单位：dB(A)</w:t>
            </w:r>
          </w:p>
          <w:tbl>
            <w:tblPr>
              <w:tblStyle w:val="36"/>
              <w:tblW w:w="8763"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41"/>
              <w:gridCol w:w="773"/>
              <w:gridCol w:w="746"/>
              <w:gridCol w:w="645"/>
              <w:gridCol w:w="691"/>
              <w:gridCol w:w="721"/>
              <w:gridCol w:w="740"/>
              <w:gridCol w:w="743"/>
              <w:gridCol w:w="769"/>
              <w:gridCol w:w="706"/>
              <w:gridCol w:w="655"/>
              <w:gridCol w:w="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33" w:type="dxa"/>
                <w:trHeight w:val="374" w:hRule="exact"/>
                <w:jc w:val="center"/>
              </w:trPr>
              <w:tc>
                <w:tcPr>
                  <w:tcW w:w="154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15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贡献值</w:t>
                  </w:r>
                </w:p>
              </w:tc>
              <w:tc>
                <w:tcPr>
                  <w:tcW w:w="1336"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现状值</w:t>
                  </w:r>
                </w:p>
              </w:tc>
              <w:tc>
                <w:tcPr>
                  <w:tcW w:w="14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预测</w:t>
                  </w:r>
                  <w:r>
                    <w:rPr>
                      <w:rFonts w:hint="default" w:ascii="Times New Roman" w:hAnsi="Times New Roman" w:eastAsia="宋体" w:cs="Times New Roman"/>
                      <w:color w:val="auto"/>
                      <w:kern w:val="0"/>
                      <w:sz w:val="21"/>
                      <w:szCs w:val="21"/>
                      <w:highlight w:val="none"/>
                    </w:rPr>
                    <w:t>值</w:t>
                  </w:r>
                </w:p>
              </w:tc>
              <w:tc>
                <w:tcPr>
                  <w:tcW w:w="151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较现状增量</w:t>
                  </w:r>
                </w:p>
              </w:tc>
              <w:tc>
                <w:tcPr>
                  <w:tcW w:w="13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79" w:hRule="exact"/>
                <w:jc w:val="center"/>
              </w:trPr>
              <w:tc>
                <w:tcPr>
                  <w:tcW w:w="154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yellow"/>
                    </w:rPr>
                  </w:pPr>
                </w:p>
              </w:tc>
              <w:tc>
                <w:tcPr>
                  <w:tcW w:w="773"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Cs/>
                      <w:color w:val="auto"/>
                      <w:sz w:val="21"/>
                      <w:szCs w:val="21"/>
                      <w:highlight w:val="none"/>
                    </w:rPr>
                    <w:t>昼间</w:t>
                  </w:r>
                </w:p>
              </w:tc>
              <w:tc>
                <w:tcPr>
                  <w:tcW w:w="746" w:type="dxa"/>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夜间</w:t>
                  </w:r>
                </w:p>
              </w:tc>
              <w:tc>
                <w:tcPr>
                  <w:tcW w:w="645"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Cs/>
                      <w:color w:val="auto"/>
                      <w:sz w:val="21"/>
                      <w:szCs w:val="21"/>
                      <w:highlight w:val="none"/>
                    </w:rPr>
                    <w:t>昼间</w:t>
                  </w:r>
                </w:p>
              </w:tc>
              <w:tc>
                <w:tcPr>
                  <w:tcW w:w="691" w:type="dxa"/>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夜间</w:t>
                  </w:r>
                </w:p>
              </w:tc>
              <w:tc>
                <w:tcPr>
                  <w:tcW w:w="721"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Cs/>
                      <w:color w:val="auto"/>
                      <w:sz w:val="21"/>
                      <w:szCs w:val="21"/>
                      <w:highlight w:val="none"/>
                    </w:rPr>
                    <w:t>昼间</w:t>
                  </w:r>
                </w:p>
              </w:tc>
              <w:tc>
                <w:tcPr>
                  <w:tcW w:w="740" w:type="dxa"/>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夜间</w:t>
                  </w:r>
                </w:p>
              </w:tc>
              <w:tc>
                <w:tcPr>
                  <w:tcW w:w="743"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昼间</w:t>
                  </w:r>
                </w:p>
              </w:tc>
              <w:tc>
                <w:tcPr>
                  <w:tcW w:w="769" w:type="dxa"/>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夜间</w:t>
                  </w:r>
                </w:p>
              </w:tc>
              <w:tc>
                <w:tcPr>
                  <w:tcW w:w="706" w:type="dxa"/>
                  <w:tcBorders>
                    <w:righ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bCs/>
                      <w:color w:val="auto"/>
                      <w:sz w:val="21"/>
                      <w:szCs w:val="21"/>
                      <w:highlight w:val="none"/>
                    </w:rPr>
                    <w:t>昼间</w:t>
                  </w:r>
                </w:p>
              </w:tc>
              <w:tc>
                <w:tcPr>
                  <w:tcW w:w="688" w:type="dxa"/>
                  <w:gridSpan w:val="2"/>
                  <w:tcBorders>
                    <w:left w:val="single" w:color="auto" w:sz="4"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exact"/>
                <w:jc w:val="center"/>
              </w:trPr>
              <w:tc>
                <w:tcPr>
                  <w:tcW w:w="1541" w:type="dxa"/>
                  <w:tcBorders>
                    <w:tl2br w:val="nil"/>
                    <w:tr2bl w:val="nil"/>
                  </w:tcBorders>
                  <w:noWrap w:val="0"/>
                  <w:vAlign w:val="center"/>
                </w:tcPr>
                <w:p>
                  <w:pPr>
                    <w:adjustRightInd/>
                    <w:snapToGrid/>
                    <w:spacing w:after="0"/>
                    <w:contextualSpacing/>
                    <w:jc w:val="center"/>
                    <w:rPr>
                      <w:rFonts w:hint="default" w:ascii="Times New Roman" w:hAnsi="Times New Roman" w:eastAsia="宋体" w:cs="Times New Roman"/>
                      <w:color w:val="auto"/>
                      <w:kern w:val="0"/>
                      <w:sz w:val="21"/>
                      <w:szCs w:val="21"/>
                      <w:highlight w:val="yellow"/>
                      <w:lang w:val="en-US"/>
                    </w:rPr>
                  </w:pPr>
                  <w:r>
                    <w:rPr>
                      <w:rFonts w:hint="eastAsia" w:ascii="Times New Roman" w:hAnsi="Times New Roman" w:eastAsia="宋体"/>
                      <w:color w:val="000000" w:themeColor="text1"/>
                      <w:sz w:val="21"/>
                      <w:szCs w:val="21"/>
                      <w14:textFill>
                        <w14:solidFill>
                          <w14:schemeClr w14:val="tx1"/>
                        </w14:solidFill>
                      </w14:textFill>
                    </w:rPr>
                    <w:t>厂界北侧居民</w:t>
                  </w:r>
                </w:p>
              </w:tc>
              <w:tc>
                <w:tcPr>
                  <w:tcW w:w="773"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34.32</w:t>
                  </w:r>
                </w:p>
              </w:tc>
              <w:tc>
                <w:tcPr>
                  <w:tcW w:w="746"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34.32</w:t>
                  </w:r>
                </w:p>
              </w:tc>
              <w:tc>
                <w:tcPr>
                  <w:tcW w:w="645" w:type="dxa"/>
                  <w:tcBorders>
                    <w:right w:val="single" w:color="auto" w:sz="4" w:space="0"/>
                    <w:tl2br w:val="nil"/>
                    <w:tr2bl w:val="nil"/>
                  </w:tcBorders>
                  <w:shd w:val="clear" w:color="auto" w:fill="auto"/>
                  <w:noWrap w:val="0"/>
                  <w:vAlign w:val="center"/>
                </w:tcPr>
                <w:p>
                  <w:pPr>
                    <w:adjustRightInd/>
                    <w:snapToGrid/>
                    <w:spacing w:after="0"/>
                    <w:contextualSpacing/>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51</w:t>
                  </w:r>
                </w:p>
              </w:tc>
              <w:tc>
                <w:tcPr>
                  <w:tcW w:w="691" w:type="dxa"/>
                  <w:tcBorders>
                    <w:left w:val="single" w:color="auto" w:sz="4" w:space="0"/>
                    <w:tl2br w:val="nil"/>
                    <w:tr2bl w:val="nil"/>
                  </w:tcBorders>
                  <w:shd w:val="clear" w:color="auto" w:fill="auto"/>
                  <w:noWrap w:val="0"/>
                  <w:vAlign w:val="center"/>
                </w:tcPr>
                <w:p>
                  <w:pPr>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3</w:t>
                  </w:r>
                  <w:r>
                    <w:rPr>
                      <w:rFonts w:ascii="Times New Roman" w:hAnsi="Times New Roman" w:eastAsia="宋体"/>
                      <w:color w:val="000000" w:themeColor="text1"/>
                      <w:sz w:val="21"/>
                      <w:szCs w:val="21"/>
                      <w:highlight w:val="none"/>
                      <w14:textFill>
                        <w14:solidFill>
                          <w14:schemeClr w14:val="tx1"/>
                        </w14:solidFill>
                      </w14:textFill>
                    </w:rPr>
                    <w:t>9</w:t>
                  </w:r>
                </w:p>
              </w:tc>
              <w:tc>
                <w:tcPr>
                  <w:tcW w:w="721"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51.09</w:t>
                  </w:r>
                </w:p>
              </w:tc>
              <w:tc>
                <w:tcPr>
                  <w:tcW w:w="740"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40.27</w:t>
                  </w:r>
                </w:p>
              </w:tc>
              <w:tc>
                <w:tcPr>
                  <w:tcW w:w="743"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+0.09</w:t>
                  </w:r>
                </w:p>
              </w:tc>
              <w:tc>
                <w:tcPr>
                  <w:tcW w:w="769"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+1.27</w:t>
                  </w:r>
                </w:p>
              </w:tc>
              <w:tc>
                <w:tcPr>
                  <w:tcW w:w="706" w:type="dxa"/>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c>
                <w:tcPr>
                  <w:tcW w:w="688" w:type="dxa"/>
                  <w:gridSpan w:val="2"/>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exact"/>
                <w:jc w:val="center"/>
              </w:trPr>
              <w:tc>
                <w:tcPr>
                  <w:tcW w:w="1541" w:type="dxa"/>
                  <w:tcBorders>
                    <w:tl2br w:val="nil"/>
                    <w:tr2bl w:val="nil"/>
                  </w:tcBorders>
                  <w:noWrap w:val="0"/>
                  <w:vAlign w:val="center"/>
                </w:tcPr>
                <w:p>
                  <w:pPr>
                    <w:adjustRightInd/>
                    <w:snapToGrid/>
                    <w:spacing w:after="0"/>
                    <w:contextualSpacing/>
                    <w:jc w:val="center"/>
                    <w:rPr>
                      <w:rFonts w:hint="eastAsia" w:cs="Times New Roman"/>
                      <w:color w:val="auto"/>
                      <w:sz w:val="21"/>
                      <w:szCs w:val="21"/>
                      <w:highlight w:val="yellow"/>
                      <w:lang w:val="en-US" w:eastAsia="zh-CN"/>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ascii="Times New Roman" w:hAnsi="Times New Roman" w:eastAsia="宋体"/>
                      <w:color w:val="000000" w:themeColor="text1"/>
                      <w:sz w:val="21"/>
                      <w:szCs w:val="21"/>
                      <w:lang w:val="en-US" w:eastAsia="zh-CN"/>
                      <w14:textFill>
                        <w14:solidFill>
                          <w14:schemeClr w14:val="tx1"/>
                        </w14:solidFill>
                      </w14:textFill>
                    </w:rPr>
                    <w:t>东</w:t>
                  </w:r>
                  <w:r>
                    <w:rPr>
                      <w:rFonts w:hint="eastAsia" w:ascii="Times New Roman" w:hAnsi="Times New Roman" w:eastAsia="宋体"/>
                      <w:color w:val="000000" w:themeColor="text1"/>
                      <w:sz w:val="21"/>
                      <w:szCs w:val="21"/>
                      <w14:textFill>
                        <w14:solidFill>
                          <w14:schemeClr w14:val="tx1"/>
                        </w14:solidFill>
                      </w14:textFill>
                    </w:rPr>
                    <w:t>侧居民</w:t>
                  </w:r>
                </w:p>
              </w:tc>
              <w:tc>
                <w:tcPr>
                  <w:tcW w:w="773"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23.39</w:t>
                  </w:r>
                </w:p>
              </w:tc>
              <w:tc>
                <w:tcPr>
                  <w:tcW w:w="746"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23.39</w:t>
                  </w:r>
                </w:p>
              </w:tc>
              <w:tc>
                <w:tcPr>
                  <w:tcW w:w="645" w:type="dxa"/>
                  <w:tcBorders>
                    <w:right w:val="single" w:color="auto" w:sz="4" w:space="0"/>
                    <w:tl2br w:val="nil"/>
                    <w:tr2bl w:val="nil"/>
                  </w:tcBorders>
                  <w:shd w:val="clear" w:color="auto" w:fill="auto"/>
                  <w:noWrap w:val="0"/>
                  <w:vAlign w:val="center"/>
                </w:tcPr>
                <w:p>
                  <w:pPr>
                    <w:adjustRightInd/>
                    <w:snapToGrid/>
                    <w:spacing w:after="0"/>
                    <w:contextualSpacing/>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52</w:t>
                  </w:r>
                </w:p>
              </w:tc>
              <w:tc>
                <w:tcPr>
                  <w:tcW w:w="691" w:type="dxa"/>
                  <w:tcBorders>
                    <w:left w:val="single" w:color="auto" w:sz="4" w:space="0"/>
                    <w:tl2br w:val="nil"/>
                    <w:tr2bl w:val="nil"/>
                  </w:tcBorders>
                  <w:shd w:val="clear" w:color="auto" w:fill="auto"/>
                  <w:noWrap w:val="0"/>
                  <w:vAlign w:val="center"/>
                </w:tcPr>
                <w:p>
                  <w:pPr>
                    <w:adjustRightInd/>
                    <w:snapToGrid/>
                    <w:spacing w:after="0"/>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4</w:t>
                  </w:r>
                  <w:r>
                    <w:rPr>
                      <w:rFonts w:ascii="Times New Roman" w:hAnsi="Times New Roman" w:eastAsia="宋体"/>
                      <w:color w:val="000000" w:themeColor="text1"/>
                      <w:sz w:val="21"/>
                      <w:szCs w:val="21"/>
                      <w:highlight w:val="none"/>
                      <w14:textFill>
                        <w14:solidFill>
                          <w14:schemeClr w14:val="tx1"/>
                        </w14:solidFill>
                      </w14:textFill>
                    </w:rPr>
                    <w:t>0</w:t>
                  </w:r>
                </w:p>
              </w:tc>
              <w:tc>
                <w:tcPr>
                  <w:tcW w:w="721"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52.01</w:t>
                  </w:r>
                </w:p>
              </w:tc>
              <w:tc>
                <w:tcPr>
                  <w:tcW w:w="740"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40.09</w:t>
                  </w:r>
                </w:p>
              </w:tc>
              <w:tc>
                <w:tcPr>
                  <w:tcW w:w="743" w:type="dxa"/>
                  <w:tcBorders>
                    <w:right w:val="single" w:color="auto" w:sz="4" w:space="0"/>
                    <w:tl2br w:val="nil"/>
                    <w:tr2bl w:val="nil"/>
                  </w:tcBorders>
                  <w:noWrap w:val="0"/>
                  <w:vAlign w:val="center"/>
                </w:tcPr>
                <w:p>
                  <w:pPr>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+0.01</w:t>
                  </w:r>
                </w:p>
              </w:tc>
              <w:tc>
                <w:tcPr>
                  <w:tcW w:w="769" w:type="dxa"/>
                  <w:tcBorders>
                    <w:left w:val="single" w:color="auto" w:sz="4" w:space="0"/>
                    <w:tl2br w:val="nil"/>
                    <w:tr2bl w:val="nil"/>
                  </w:tcBorders>
                  <w:noWrap w:val="0"/>
                  <w:vAlign w:val="center"/>
                </w:tcPr>
                <w:p>
                  <w:pPr>
                    <w:pStyle w:val="2"/>
                    <w:spacing w:line="240" w:lineRule="auto"/>
                    <w:jc w:val="center"/>
                    <w:rPr>
                      <w:rFonts w:hint="eastAsia" w:ascii="Times New Roman" w:hAnsi="Times New Roman"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+0.09</w:t>
                  </w:r>
                </w:p>
              </w:tc>
              <w:tc>
                <w:tcPr>
                  <w:tcW w:w="706" w:type="dxa"/>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c>
                <w:tcPr>
                  <w:tcW w:w="688" w:type="dxa"/>
                  <w:gridSpan w:val="2"/>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exact"/>
                <w:jc w:val="center"/>
              </w:trPr>
              <w:tc>
                <w:tcPr>
                  <w:tcW w:w="1541" w:type="dxa"/>
                  <w:tcBorders>
                    <w:tl2br w:val="nil"/>
                    <w:tr2bl w:val="nil"/>
                  </w:tcBorders>
                  <w:noWrap w:val="0"/>
                  <w:vAlign w:val="center"/>
                </w:tcPr>
                <w:p>
                  <w:pPr>
                    <w:adjustRightInd/>
                    <w:snapToGrid/>
                    <w:spacing w:after="0"/>
                    <w:contextualSpacing/>
                    <w:jc w:val="center"/>
                    <w:rPr>
                      <w:rFonts w:hint="eastAsia" w:cs="Times New Roman"/>
                      <w:color w:val="auto"/>
                      <w:sz w:val="21"/>
                      <w:szCs w:val="21"/>
                      <w:highlight w:val="yellow"/>
                      <w:lang w:val="en-US" w:eastAsia="zh-CN"/>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ascii="Times New Roman" w:hAnsi="Times New Roman" w:eastAsia="宋体"/>
                      <w:color w:val="000000" w:themeColor="text1"/>
                      <w:sz w:val="21"/>
                      <w:szCs w:val="21"/>
                      <w:lang w:val="en-US" w:eastAsia="zh-CN"/>
                      <w14:textFill>
                        <w14:solidFill>
                          <w14:schemeClr w14:val="tx1"/>
                        </w14:solidFill>
                      </w14:textFill>
                    </w:rPr>
                    <w:t>南</w:t>
                  </w:r>
                  <w:r>
                    <w:rPr>
                      <w:rFonts w:hint="eastAsia" w:ascii="Times New Roman" w:hAnsi="Times New Roman" w:eastAsia="宋体"/>
                      <w:color w:val="000000" w:themeColor="text1"/>
                      <w:sz w:val="21"/>
                      <w:szCs w:val="21"/>
                      <w14:textFill>
                        <w14:solidFill>
                          <w14:schemeClr w14:val="tx1"/>
                        </w14:solidFill>
                      </w14:textFill>
                    </w:rPr>
                    <w:t>侧居民</w:t>
                  </w:r>
                </w:p>
              </w:tc>
              <w:tc>
                <w:tcPr>
                  <w:tcW w:w="773"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23.1</w:t>
                  </w:r>
                </w:p>
              </w:tc>
              <w:tc>
                <w:tcPr>
                  <w:tcW w:w="746"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23.1</w:t>
                  </w:r>
                </w:p>
              </w:tc>
              <w:tc>
                <w:tcPr>
                  <w:tcW w:w="645" w:type="dxa"/>
                  <w:tcBorders>
                    <w:right w:val="single" w:color="auto" w:sz="4" w:space="0"/>
                    <w:tl2br w:val="nil"/>
                    <w:tr2bl w:val="nil"/>
                  </w:tcBorders>
                  <w:shd w:val="clear" w:color="auto" w:fill="auto"/>
                  <w:noWrap w:val="0"/>
                  <w:vAlign w:val="center"/>
                </w:tcPr>
                <w:p>
                  <w:pPr>
                    <w:adjustRightInd/>
                    <w:snapToGrid/>
                    <w:spacing w:after="0"/>
                    <w:contextualSpacing/>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51</w:t>
                  </w:r>
                </w:p>
              </w:tc>
              <w:tc>
                <w:tcPr>
                  <w:tcW w:w="691" w:type="dxa"/>
                  <w:tcBorders>
                    <w:left w:val="single" w:color="auto" w:sz="4" w:space="0"/>
                    <w:tl2br w:val="nil"/>
                    <w:tr2bl w:val="nil"/>
                  </w:tcBorders>
                  <w:shd w:val="clear" w:color="auto" w:fill="auto"/>
                  <w:noWrap w:val="0"/>
                  <w:vAlign w:val="center"/>
                </w:tcPr>
                <w:p>
                  <w:pPr>
                    <w:adjustRightInd/>
                    <w:snapToGrid/>
                    <w:spacing w:after="0"/>
                    <w:contextualSpacing/>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0</w:t>
                  </w:r>
                </w:p>
              </w:tc>
              <w:tc>
                <w:tcPr>
                  <w:tcW w:w="721"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51.01</w:t>
                  </w:r>
                </w:p>
              </w:tc>
              <w:tc>
                <w:tcPr>
                  <w:tcW w:w="740"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40.09</w:t>
                  </w:r>
                </w:p>
              </w:tc>
              <w:tc>
                <w:tcPr>
                  <w:tcW w:w="743" w:type="dxa"/>
                  <w:tcBorders>
                    <w:right w:val="single" w:color="auto" w:sz="4" w:space="0"/>
                    <w:tl2br w:val="nil"/>
                    <w:tr2bl w:val="nil"/>
                  </w:tcBorders>
                  <w:noWrap w:val="0"/>
                  <w:vAlign w:val="center"/>
                </w:tcPr>
                <w:p>
                  <w:pPr>
                    <w:spacing w:line="240" w:lineRule="auto"/>
                    <w:jc w:val="center"/>
                    <w:rPr>
                      <w:rFonts w:hint="default" w:ascii="Times New Roman" w:hAnsi="Times New Roman"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+0.01</w:t>
                  </w:r>
                </w:p>
              </w:tc>
              <w:tc>
                <w:tcPr>
                  <w:tcW w:w="769" w:type="dxa"/>
                  <w:tcBorders>
                    <w:left w:val="single" w:color="auto" w:sz="4" w:space="0"/>
                    <w:tl2br w:val="nil"/>
                    <w:tr2bl w:val="nil"/>
                  </w:tcBorders>
                  <w:noWrap w:val="0"/>
                  <w:vAlign w:val="center"/>
                </w:tcPr>
                <w:p>
                  <w:pPr>
                    <w:pStyle w:val="2"/>
                    <w:spacing w:line="240" w:lineRule="auto"/>
                    <w:jc w:val="center"/>
                    <w:rPr>
                      <w:rFonts w:hint="eastAsia" w:ascii="Times New Roman" w:hAnsi="Times New Roman"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+0.09</w:t>
                  </w:r>
                </w:p>
              </w:tc>
              <w:tc>
                <w:tcPr>
                  <w:tcW w:w="706" w:type="dxa"/>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c>
                <w:tcPr>
                  <w:tcW w:w="688" w:type="dxa"/>
                  <w:gridSpan w:val="2"/>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6" w:hRule="exact"/>
                <w:jc w:val="center"/>
              </w:trPr>
              <w:tc>
                <w:tcPr>
                  <w:tcW w:w="1541" w:type="dxa"/>
                  <w:tcBorders>
                    <w:tl2br w:val="nil"/>
                    <w:tr2bl w:val="nil"/>
                  </w:tcBorders>
                  <w:noWrap w:val="0"/>
                  <w:vAlign w:val="center"/>
                </w:tcPr>
                <w:p>
                  <w:pPr>
                    <w:adjustRightInd/>
                    <w:snapToGrid/>
                    <w:spacing w:after="0"/>
                    <w:contextualSpacing/>
                    <w:jc w:val="center"/>
                    <w:rPr>
                      <w:rFonts w:hint="eastAsia" w:cs="Times New Roman"/>
                      <w:color w:val="auto"/>
                      <w:sz w:val="21"/>
                      <w:szCs w:val="21"/>
                      <w:highlight w:val="yellow"/>
                      <w:lang w:val="en-US" w:eastAsia="zh-CN"/>
                    </w:rPr>
                  </w:pPr>
                  <w:r>
                    <w:rPr>
                      <w:rFonts w:hint="eastAsia" w:ascii="Times New Roman" w:hAnsi="Times New Roman" w:eastAsia="宋体"/>
                      <w:color w:val="000000" w:themeColor="text1"/>
                      <w:sz w:val="21"/>
                      <w:szCs w:val="21"/>
                      <w14:textFill>
                        <w14:solidFill>
                          <w14:schemeClr w14:val="tx1"/>
                        </w14:solidFill>
                      </w14:textFill>
                    </w:rPr>
                    <w:t>厂界</w:t>
                  </w:r>
                  <w:r>
                    <w:rPr>
                      <w:rFonts w:hint="eastAsia" w:ascii="Times New Roman" w:hAnsi="Times New Roman" w:eastAsia="宋体"/>
                      <w:color w:val="000000" w:themeColor="text1"/>
                      <w:sz w:val="21"/>
                      <w:szCs w:val="21"/>
                      <w:lang w:val="en-US" w:eastAsia="zh-CN"/>
                      <w14:textFill>
                        <w14:solidFill>
                          <w14:schemeClr w14:val="tx1"/>
                        </w14:solidFill>
                      </w14:textFill>
                    </w:rPr>
                    <w:t>西</w:t>
                  </w:r>
                  <w:r>
                    <w:rPr>
                      <w:rFonts w:hint="eastAsia" w:ascii="Times New Roman" w:hAnsi="Times New Roman" w:eastAsia="宋体"/>
                      <w:color w:val="000000" w:themeColor="text1"/>
                      <w:sz w:val="21"/>
                      <w:szCs w:val="21"/>
                      <w14:textFill>
                        <w14:solidFill>
                          <w14:schemeClr w14:val="tx1"/>
                        </w14:solidFill>
                      </w14:textFill>
                    </w:rPr>
                    <w:t>侧居民</w:t>
                  </w:r>
                </w:p>
              </w:tc>
              <w:tc>
                <w:tcPr>
                  <w:tcW w:w="773"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36.25</w:t>
                  </w:r>
                </w:p>
              </w:tc>
              <w:tc>
                <w:tcPr>
                  <w:tcW w:w="746"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36.25</w:t>
                  </w:r>
                </w:p>
              </w:tc>
              <w:tc>
                <w:tcPr>
                  <w:tcW w:w="645" w:type="dxa"/>
                  <w:tcBorders>
                    <w:right w:val="single" w:color="auto" w:sz="4" w:space="0"/>
                    <w:tl2br w:val="nil"/>
                    <w:tr2bl w:val="nil"/>
                  </w:tcBorders>
                  <w:shd w:val="clear" w:color="auto" w:fill="auto"/>
                  <w:noWrap w:val="0"/>
                  <w:vAlign w:val="center"/>
                </w:tcPr>
                <w:p>
                  <w:pPr>
                    <w:adjustRightInd/>
                    <w:snapToGrid/>
                    <w:spacing w:after="0"/>
                    <w:contextualSpacing/>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53</w:t>
                  </w:r>
                </w:p>
              </w:tc>
              <w:tc>
                <w:tcPr>
                  <w:tcW w:w="691" w:type="dxa"/>
                  <w:tcBorders>
                    <w:left w:val="single" w:color="auto" w:sz="4" w:space="0"/>
                    <w:tl2br w:val="nil"/>
                    <w:tr2bl w:val="nil"/>
                  </w:tcBorders>
                  <w:shd w:val="clear" w:color="auto" w:fill="auto"/>
                  <w:noWrap w:val="0"/>
                  <w:vAlign w:val="center"/>
                </w:tcPr>
                <w:p>
                  <w:pPr>
                    <w:adjustRightInd/>
                    <w:snapToGrid/>
                    <w:spacing w:after="0"/>
                    <w:contextualSpacing/>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41</w:t>
                  </w:r>
                </w:p>
              </w:tc>
              <w:tc>
                <w:tcPr>
                  <w:tcW w:w="721" w:type="dxa"/>
                  <w:tcBorders>
                    <w:righ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53.09</w:t>
                  </w:r>
                </w:p>
              </w:tc>
              <w:tc>
                <w:tcPr>
                  <w:tcW w:w="740" w:type="dxa"/>
                  <w:tcBorders>
                    <w:left w:val="single" w:color="auto" w:sz="4" w:space="0"/>
                    <w:tl2br w:val="nil"/>
                    <w:tr2bl w:val="nil"/>
                  </w:tcBorders>
                  <w:noWrap w:val="0"/>
                  <w:vAlign w:val="center"/>
                </w:tcPr>
                <w:p>
                  <w:pPr>
                    <w:rPr>
                      <w:rFonts w:hint="default"/>
                      <w:highlight w:val="none"/>
                      <w:lang w:val="en-US" w:eastAsia="zh-CN"/>
                    </w:rPr>
                  </w:pPr>
                  <w:r>
                    <w:rPr>
                      <w:rFonts w:hint="eastAsia" w:ascii="Times New Roman" w:hAnsi="Times New Roman" w:cs="Times New Roman"/>
                      <w:color w:val="auto"/>
                      <w:kern w:val="2"/>
                      <w:sz w:val="21"/>
                      <w:szCs w:val="21"/>
                      <w:highlight w:val="none"/>
                      <w:lang w:val="en-US" w:eastAsia="zh-CN" w:bidi="ar-SA"/>
                    </w:rPr>
                    <w:t>42.25</w:t>
                  </w:r>
                </w:p>
              </w:tc>
              <w:tc>
                <w:tcPr>
                  <w:tcW w:w="743" w:type="dxa"/>
                  <w:tcBorders>
                    <w:right w:val="single" w:color="auto" w:sz="4" w:space="0"/>
                    <w:tl2br w:val="nil"/>
                    <w:tr2bl w:val="nil"/>
                  </w:tcBorders>
                  <w:noWrap w:val="0"/>
                  <w:vAlign w:val="center"/>
                </w:tcPr>
                <w:p>
                  <w:pPr>
                    <w:spacing w:line="240" w:lineRule="auto"/>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+0.09</w:t>
                  </w:r>
                </w:p>
              </w:tc>
              <w:tc>
                <w:tcPr>
                  <w:tcW w:w="769" w:type="dxa"/>
                  <w:tcBorders>
                    <w:left w:val="single" w:color="auto" w:sz="4" w:space="0"/>
                    <w:tl2br w:val="nil"/>
                    <w:tr2bl w:val="nil"/>
                  </w:tcBorders>
                  <w:noWrap w:val="0"/>
                  <w:vAlign w:val="center"/>
                </w:tcPr>
                <w:p>
                  <w:pPr>
                    <w:pStyle w:val="2"/>
                    <w:spacing w:line="240" w:lineRule="auto"/>
                    <w:jc w:val="center"/>
                    <w:rPr>
                      <w:rFonts w:hint="default" w:ascii="Times New Roman" w:hAnsi="Times New Roman" w:cs="Times New Roman"/>
                      <w:color w:val="auto"/>
                      <w:kern w:val="2"/>
                      <w:sz w:val="21"/>
                      <w:szCs w:val="21"/>
                      <w:highlight w:val="yellow"/>
                      <w:lang w:val="en-US" w:eastAsia="zh-CN" w:bidi="ar-SA"/>
                    </w:rPr>
                  </w:pPr>
                  <w:r>
                    <w:rPr>
                      <w:rFonts w:hint="eastAsia" w:ascii="Times New Roman" w:hAnsi="Times New Roman" w:cs="Times New Roman"/>
                      <w:color w:val="auto"/>
                      <w:kern w:val="2"/>
                      <w:sz w:val="21"/>
                      <w:szCs w:val="21"/>
                      <w:highlight w:val="none"/>
                      <w:lang w:val="en-US" w:eastAsia="zh-CN" w:bidi="ar-SA"/>
                    </w:rPr>
                    <w:t>+1.25</w:t>
                  </w:r>
                </w:p>
              </w:tc>
              <w:tc>
                <w:tcPr>
                  <w:tcW w:w="706" w:type="dxa"/>
                  <w:tcBorders>
                    <w:righ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c>
                <w:tcPr>
                  <w:tcW w:w="688" w:type="dxa"/>
                  <w:gridSpan w:val="2"/>
                  <w:tcBorders>
                    <w:left w:val="single" w:color="auto" w:sz="4" w:space="0"/>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达标</w:t>
                  </w:r>
                </w:p>
              </w:tc>
            </w:tr>
          </w:tbl>
          <w:p>
            <w:pPr>
              <w:adjustRightInd w:val="0"/>
              <w:snapToGrid w:val="0"/>
              <w:spacing w:line="360" w:lineRule="auto"/>
              <w:ind w:firstLine="480" w:firstLineChars="200"/>
              <w:rPr>
                <w:bCs/>
                <w:color w:val="000000" w:themeColor="text1"/>
                <w:spacing w:val="-10"/>
                <w:szCs w:val="21"/>
                <w14:textFill>
                  <w14:solidFill>
                    <w14:schemeClr w14:val="tx1"/>
                  </w14:solidFill>
                </w14:textFill>
              </w:rPr>
            </w:pPr>
            <w:r>
              <w:rPr>
                <w:rFonts w:hint="default" w:ascii="Times New Roman" w:hAnsi="Times New Roman" w:eastAsia="宋体" w:cs="Times New Roman"/>
                <w:color w:val="auto"/>
                <w:sz w:val="24"/>
                <w:szCs w:val="24"/>
                <w:highlight w:val="none"/>
                <w:lang w:val="en-US" w:eastAsia="zh-CN"/>
              </w:rPr>
              <w:t>由上表可知，本项目敏感点噪声满足《声环境质量标准》（GB3096-2008）中2类标准限值要求。</w:t>
            </w:r>
          </w:p>
          <w:p>
            <w:pPr>
              <w:adjustRightInd w:val="0"/>
              <w:snapToGrid w:val="0"/>
              <w:spacing w:line="360" w:lineRule="auto"/>
              <w:ind w:left="420" w:leftChars="200"/>
              <w:rPr>
                <w:bCs/>
                <w:color w:val="000000" w:themeColor="text1"/>
                <w:spacing w:val="-10"/>
                <w:sz w:val="24"/>
                <w14:textFill>
                  <w14:solidFill>
                    <w14:schemeClr w14:val="tx1"/>
                  </w14:solidFill>
                </w14:textFill>
              </w:rPr>
            </w:pPr>
            <w:r>
              <w:rPr>
                <w:rFonts w:hint="eastAsia"/>
                <w:bCs/>
                <w:color w:val="000000" w:themeColor="text1"/>
                <w:spacing w:val="-10"/>
                <w:sz w:val="24"/>
                <w14:textFill>
                  <w14:solidFill>
                    <w14:schemeClr w14:val="tx1"/>
                  </w14:solidFill>
                </w14:textFill>
              </w:rPr>
              <w:t>（4）</w:t>
            </w:r>
            <w:r>
              <w:rPr>
                <w:bCs/>
                <w:color w:val="000000" w:themeColor="text1"/>
                <w:spacing w:val="-10"/>
                <w:sz w:val="24"/>
                <w14:textFill>
                  <w14:solidFill>
                    <w14:schemeClr w14:val="tx1"/>
                  </w14:solidFill>
                </w14:textFill>
              </w:rPr>
              <w:t>环境噪声监测要求</w:t>
            </w:r>
          </w:p>
          <w:p>
            <w:pPr>
              <w:pStyle w:val="117"/>
              <w:adjustRightInd/>
              <w:snapToGrid/>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表4-</w:t>
            </w:r>
            <w:r>
              <w:rPr>
                <w:rFonts w:hint="eastAsia" w:eastAsia="宋体"/>
                <w:b/>
                <w:bCs/>
                <w:color w:val="000000" w:themeColor="text1"/>
                <w:sz w:val="21"/>
                <w:szCs w:val="21"/>
                <w:lang w:val="en-US" w:eastAsia="zh-CN"/>
                <w14:textFill>
                  <w14:solidFill>
                    <w14:schemeClr w14:val="tx1"/>
                  </w14:solidFill>
                </w14:textFill>
              </w:rPr>
              <w:t>13</w:t>
            </w:r>
            <w:r>
              <w:rPr>
                <w:rFonts w:eastAsia="宋体"/>
                <w:b/>
                <w:bCs/>
                <w:color w:val="000000" w:themeColor="text1"/>
                <w:sz w:val="21"/>
                <w:szCs w:val="21"/>
                <w14:textFill>
                  <w14:solidFill>
                    <w14:schemeClr w14:val="tx1"/>
                  </w14:solidFill>
                </w14:textFill>
              </w:rPr>
              <w:t xml:space="preserve">  噪声监测计划一览表</w:t>
            </w:r>
          </w:p>
          <w:tbl>
            <w:tblPr>
              <w:tblStyle w:val="36"/>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序号</w:t>
                  </w:r>
                </w:p>
              </w:tc>
              <w:tc>
                <w:tcPr>
                  <w:tcW w:w="750" w:type="dxa"/>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环境</w:t>
                  </w:r>
                </w:p>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要素</w:t>
                  </w:r>
                </w:p>
              </w:tc>
              <w:tc>
                <w:tcPr>
                  <w:tcW w:w="1773" w:type="dxa"/>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监测点位</w:t>
                  </w:r>
                </w:p>
              </w:tc>
              <w:tc>
                <w:tcPr>
                  <w:tcW w:w="818" w:type="dxa"/>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监测指标</w:t>
                  </w:r>
                </w:p>
              </w:tc>
              <w:tc>
                <w:tcPr>
                  <w:tcW w:w="1800" w:type="dxa"/>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监测频次</w:t>
                  </w:r>
                </w:p>
              </w:tc>
              <w:tc>
                <w:tcPr>
                  <w:tcW w:w="2793" w:type="dxa"/>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057" w:hRule="atLeast"/>
                <w:jc w:val="center"/>
              </w:trPr>
              <w:tc>
                <w:tcPr>
                  <w:tcW w:w="717" w:type="dxa"/>
                  <w:vMerge w:val="restart"/>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p>
              </w:tc>
              <w:tc>
                <w:tcPr>
                  <w:tcW w:w="750" w:type="dxa"/>
                  <w:vMerge w:val="restart"/>
                  <w:vAlign w:val="center"/>
                </w:tcPr>
                <w:p>
                  <w:pPr>
                    <w:jc w:val="center"/>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声环境</w:t>
                  </w:r>
                </w:p>
              </w:tc>
              <w:tc>
                <w:tcPr>
                  <w:tcW w:w="1773" w:type="dxa"/>
                  <w:tcBorders>
                    <w:bottom w:val="single" w:color="auto" w:sz="4" w:space="0"/>
                  </w:tcBorders>
                  <w:vAlign w:val="center"/>
                </w:tcPr>
                <w:p>
                  <w:pPr>
                    <w:jc w:val="center"/>
                    <w:rPr>
                      <w:bCs/>
                      <w:color w:val="000000" w:themeColor="text1"/>
                      <w:kern w:val="0"/>
                      <w:szCs w:val="21"/>
                      <w:highlight w:val="none"/>
                      <w14:textFill>
                        <w14:solidFill>
                          <w14:schemeClr w14:val="tx1"/>
                        </w14:solidFill>
                      </w14:textFill>
                    </w:rPr>
                  </w:pPr>
                  <w:r>
                    <w:rPr>
                      <w:bCs/>
                      <w:color w:val="000000" w:themeColor="text1"/>
                      <w:kern w:val="0"/>
                      <w:szCs w:val="21"/>
                      <w:highlight w:val="none"/>
                      <w14:textFill>
                        <w14:solidFill>
                          <w14:schemeClr w14:val="tx1"/>
                        </w14:solidFill>
                      </w14:textFill>
                    </w:rPr>
                    <w:t>厂界四周外1m</w:t>
                  </w:r>
                  <w:r>
                    <w:rPr>
                      <w:rFonts w:hint="eastAsia"/>
                      <w:bCs/>
                      <w:color w:val="000000" w:themeColor="text1"/>
                      <w:kern w:val="0"/>
                      <w:szCs w:val="21"/>
                      <w:highlight w:val="none"/>
                      <w14:textFill>
                        <w14:solidFill>
                          <w14:schemeClr w14:val="tx1"/>
                        </w14:solidFill>
                      </w14:textFill>
                    </w:rPr>
                    <w:t>处</w:t>
                  </w:r>
                </w:p>
              </w:tc>
              <w:tc>
                <w:tcPr>
                  <w:tcW w:w="818" w:type="dxa"/>
                  <w:vMerge w:val="restart"/>
                  <w:vAlign w:val="center"/>
                </w:tcPr>
                <w:p>
                  <w:pPr>
                    <w:jc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等效声级</w:t>
                  </w:r>
                </w:p>
              </w:tc>
              <w:tc>
                <w:tcPr>
                  <w:tcW w:w="1800" w:type="dxa"/>
                  <w:vMerge w:val="restart"/>
                  <w:vAlign w:val="center"/>
                </w:tcPr>
                <w:p>
                  <w:pPr>
                    <w:jc w:val="center"/>
                    <w:rPr>
                      <w:bCs/>
                      <w:color w:val="000000" w:themeColor="text1"/>
                      <w:kern w:val="0"/>
                      <w:szCs w:val="21"/>
                      <w:highlight w:val="none"/>
                      <w14:textFill>
                        <w14:solidFill>
                          <w14:schemeClr w14:val="tx1"/>
                        </w14:solidFill>
                      </w14:textFill>
                    </w:rPr>
                  </w:pPr>
                  <w:r>
                    <w:rPr>
                      <w:rFonts w:hint="eastAsia"/>
                      <w:bCs/>
                      <w:color w:val="000000" w:themeColor="text1"/>
                      <w:kern w:val="0"/>
                      <w:szCs w:val="21"/>
                      <w:highlight w:val="none"/>
                      <w14:textFill>
                        <w14:solidFill>
                          <w14:schemeClr w14:val="tx1"/>
                        </w14:solidFill>
                      </w14:textFill>
                    </w:rPr>
                    <w:t>1次/季度</w:t>
                  </w:r>
                </w:p>
              </w:tc>
              <w:tc>
                <w:tcPr>
                  <w:tcW w:w="2793" w:type="dxa"/>
                  <w:vMerge w:val="restart"/>
                  <w:vAlign w:val="center"/>
                </w:tcPr>
                <w:p>
                  <w:pPr>
                    <w:jc w:val="center"/>
                    <w:rPr>
                      <w:bCs/>
                      <w:color w:val="000000" w:themeColor="text1"/>
                      <w:kern w:val="0"/>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厂界噪声满足《工业企业厂界环境噪声排放标准》（GB12348-2008）表1中2类标准。</w:t>
                  </w:r>
                  <w:r>
                    <w:rPr>
                      <w:rFonts w:hint="default" w:ascii="Times New Roman" w:hAnsi="Times New Roman" w:eastAsia="宋体" w:cs="Times New Roman"/>
                      <w:color w:val="auto"/>
                      <w:sz w:val="21"/>
                      <w:szCs w:val="21"/>
                      <w:highlight w:val="none"/>
                      <w:lang w:val="en-US" w:eastAsia="zh-CN"/>
                    </w:rPr>
                    <w:t>敏感点噪声满足《声环境质量标准》（GB3096-2008）中2类标准限值要求</w:t>
                  </w:r>
                  <w:r>
                    <w:rPr>
                      <w:rFonts w:hint="eastAsia"/>
                      <w:color w:val="000000" w:themeColor="text1"/>
                      <w:sz w:val="21"/>
                      <w:szCs w:val="21"/>
                      <w:highlight w:val="none"/>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84" w:hRule="atLeast"/>
                <w:jc w:val="center"/>
              </w:trPr>
              <w:tc>
                <w:tcPr>
                  <w:tcW w:w="717" w:type="dxa"/>
                  <w:vMerge w:val="continue"/>
                  <w:vAlign w:val="center"/>
                </w:tcPr>
                <w:p>
                  <w:pPr>
                    <w:jc w:val="center"/>
                    <w:rPr>
                      <w:bCs/>
                      <w:color w:val="000000" w:themeColor="text1"/>
                      <w:kern w:val="0"/>
                      <w:szCs w:val="21"/>
                      <w14:textFill>
                        <w14:solidFill>
                          <w14:schemeClr w14:val="tx1"/>
                        </w14:solidFill>
                      </w14:textFill>
                    </w:rPr>
                  </w:pPr>
                </w:p>
              </w:tc>
              <w:tc>
                <w:tcPr>
                  <w:tcW w:w="750" w:type="dxa"/>
                  <w:vMerge w:val="continue"/>
                  <w:vAlign w:val="center"/>
                </w:tcPr>
                <w:p>
                  <w:pPr>
                    <w:jc w:val="center"/>
                    <w:rPr>
                      <w:bCs/>
                      <w:color w:val="000000" w:themeColor="text1"/>
                      <w:kern w:val="0"/>
                      <w:szCs w:val="21"/>
                      <w14:textFill>
                        <w14:solidFill>
                          <w14:schemeClr w14:val="tx1"/>
                        </w14:solidFill>
                      </w14:textFill>
                    </w:rPr>
                  </w:pPr>
                </w:p>
              </w:tc>
              <w:tc>
                <w:tcPr>
                  <w:tcW w:w="1773" w:type="dxa"/>
                  <w:tcBorders>
                    <w:top w:val="single" w:color="auto" w:sz="4" w:space="0"/>
                  </w:tcBorders>
                  <w:vAlign w:val="center"/>
                </w:tcPr>
                <w:p>
                  <w:pPr>
                    <w:jc w:val="center"/>
                    <w:rPr>
                      <w:rFonts w:hint="eastAsia"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lang w:val="en-US" w:eastAsia="zh-CN"/>
                      <w14:textFill>
                        <w14:solidFill>
                          <w14:schemeClr w14:val="tx1"/>
                        </w14:solidFill>
                      </w14:textFill>
                    </w:rPr>
                    <w:t>敏感点</w:t>
                  </w:r>
                </w:p>
              </w:tc>
              <w:tc>
                <w:tcPr>
                  <w:tcW w:w="818" w:type="dxa"/>
                  <w:vMerge w:val="continue"/>
                  <w:vAlign w:val="center"/>
                </w:tcPr>
                <w:p>
                  <w:pPr>
                    <w:jc w:val="center"/>
                    <w:rPr>
                      <w:rFonts w:hint="eastAsia"/>
                      <w:bCs/>
                      <w:color w:val="000000" w:themeColor="text1"/>
                      <w:kern w:val="0"/>
                      <w:szCs w:val="21"/>
                      <w14:textFill>
                        <w14:solidFill>
                          <w14:schemeClr w14:val="tx1"/>
                        </w14:solidFill>
                      </w14:textFill>
                    </w:rPr>
                  </w:pPr>
                </w:p>
              </w:tc>
              <w:tc>
                <w:tcPr>
                  <w:tcW w:w="1800" w:type="dxa"/>
                  <w:vMerge w:val="continue"/>
                  <w:vAlign w:val="center"/>
                </w:tcPr>
                <w:p>
                  <w:pPr>
                    <w:jc w:val="center"/>
                    <w:rPr>
                      <w:rFonts w:hint="eastAsia"/>
                      <w:bCs/>
                      <w:color w:val="000000" w:themeColor="text1"/>
                      <w:kern w:val="0"/>
                      <w:szCs w:val="21"/>
                      <w14:textFill>
                        <w14:solidFill>
                          <w14:schemeClr w14:val="tx1"/>
                        </w14:solidFill>
                      </w14:textFill>
                    </w:rPr>
                  </w:pPr>
                </w:p>
              </w:tc>
              <w:tc>
                <w:tcPr>
                  <w:tcW w:w="2793" w:type="dxa"/>
                  <w:vMerge w:val="continue"/>
                  <w:vAlign w:val="center"/>
                </w:tcPr>
                <w:p>
                  <w:pPr>
                    <w:jc w:val="center"/>
                    <w:rPr>
                      <w:rFonts w:hint="eastAsia"/>
                      <w:color w:val="000000" w:themeColor="text1"/>
                      <w:sz w:val="21"/>
                      <w:szCs w:val="21"/>
                      <w:highlight w:val="yellow"/>
                      <w14:textFill>
                        <w14:solidFill>
                          <w14:schemeClr w14:val="tx1"/>
                        </w14:solidFill>
                      </w14:textFill>
                    </w:rPr>
                  </w:pPr>
                </w:p>
              </w:tc>
            </w:tr>
          </w:tbl>
          <w:p>
            <w:pPr>
              <w:snapToGrid w:val="0"/>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4、固体废物</w:t>
            </w:r>
          </w:p>
          <w:p>
            <w:pPr>
              <w:overflowPunct w:val="0"/>
              <w:spacing w:line="360" w:lineRule="auto"/>
              <w:ind w:firstLine="480" w:firstLineChars="200"/>
              <w:rPr>
                <w:color w:val="000000" w:themeColor="text1"/>
                <w:sz w:val="24"/>
                <w:szCs w:val="24"/>
                <w14:textFill>
                  <w14:solidFill>
                    <w14:schemeClr w14:val="tx1"/>
                  </w14:solidFill>
                </w14:textFill>
              </w:rPr>
            </w:pPr>
            <w:bookmarkStart w:id="38" w:name="_Hlk77175712"/>
            <w:r>
              <w:rPr>
                <w:color w:val="000000" w:themeColor="text1"/>
                <w:sz w:val="24"/>
                <w:szCs w:val="24"/>
                <w14:textFill>
                  <w14:solidFill>
                    <w14:schemeClr w14:val="tx1"/>
                  </w14:solidFill>
                </w14:textFill>
              </w:rPr>
              <w:t>本项目固体废物</w:t>
            </w:r>
            <w:r>
              <w:rPr>
                <w:rFonts w:hint="eastAsia"/>
                <w:color w:val="000000" w:themeColor="text1"/>
                <w:sz w:val="24"/>
                <w:szCs w:val="24"/>
                <w14:textFill>
                  <w14:solidFill>
                    <w14:schemeClr w14:val="tx1"/>
                  </w14:solidFill>
                </w14:textFill>
              </w:rPr>
              <w:t>主要为生活垃圾、灰渣、废布袋。</w:t>
            </w:r>
          </w:p>
          <w:p>
            <w:pPr>
              <w:pStyle w:val="132"/>
              <w:spacing w:line="36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（1）生活垃圾</w:t>
            </w:r>
          </w:p>
          <w:p>
            <w:pPr>
              <w:pStyle w:val="132"/>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sz w:val="24"/>
                <w:szCs w:val="24"/>
                <w:lang w:eastAsia="zh-CN"/>
                <w14:textFill>
                  <w14:solidFill>
                    <w14:schemeClr w14:val="tx1"/>
                  </w14:solidFill>
                </w14:textFill>
              </w:rPr>
              <w:t>锅炉房配备</w:t>
            </w:r>
            <w:r>
              <w:rPr>
                <w:rFonts w:hint="eastAsia"/>
                <w:color w:val="000000" w:themeColor="text1"/>
                <w:sz w:val="24"/>
                <w:szCs w:val="24"/>
                <w14:textFill>
                  <w14:solidFill>
                    <w14:schemeClr w14:val="tx1"/>
                  </w14:solidFill>
                </w14:textFill>
              </w:rPr>
              <w:t>职工</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生活垃圾产生量按每人每天0</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kg计算，则</w:t>
            </w:r>
            <w:r>
              <w:rPr>
                <w:rFonts w:hint="eastAsia"/>
                <w:color w:val="000000" w:themeColor="text1"/>
                <w:lang w:eastAsia="zh-CN"/>
                <w14:textFill>
                  <w14:solidFill>
                    <w14:schemeClr w14:val="tx1"/>
                  </w14:solidFill>
                </w14:textFill>
              </w:rPr>
              <w:t>项目</w:t>
            </w:r>
            <w:r>
              <w:rPr>
                <w:rFonts w:hint="eastAsia"/>
                <w:color w:val="000000" w:themeColor="text1"/>
                <w14:textFill>
                  <w14:solidFill>
                    <w14:schemeClr w14:val="tx1"/>
                  </w14:solidFill>
                </w14:textFill>
              </w:rPr>
              <w:t>生活垃圾产生量</w:t>
            </w:r>
            <w:r>
              <w:rPr>
                <w:rFonts w:hint="eastAsia"/>
                <w:color w:val="000000" w:themeColor="text1"/>
                <w:lang w:val="en-US" w:eastAsia="zh-CN"/>
                <w14:textFill>
                  <w14:solidFill>
                    <w14:schemeClr w14:val="tx1"/>
                  </w14:solidFill>
                </w14:textFill>
              </w:rPr>
              <w:t>0.315</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生活垃圾集中收集，委托环卫部门统一处置。</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bCs/>
                <w:color w:val="000000" w:themeColor="text1"/>
                <w:spacing w:val="-10"/>
                <w:sz w:val="24"/>
                <w14:textFill>
                  <w14:solidFill>
                    <w14:schemeClr w14:val="tx1"/>
                  </w14:solidFill>
                </w14:textFill>
              </w:rPr>
            </w:pPr>
            <w:r>
              <w:rPr>
                <w:rFonts w:hint="eastAsia"/>
                <w:bCs/>
                <w:color w:val="000000" w:themeColor="text1"/>
                <w:spacing w:val="-10"/>
                <w:sz w:val="24"/>
                <w14:textFill>
                  <w14:solidFill>
                    <w14:schemeClr w14:val="tx1"/>
                  </w14:solidFill>
                </w14:textFill>
              </w:rPr>
              <w:t>（</w:t>
            </w:r>
            <w:r>
              <w:rPr>
                <w:rFonts w:hint="eastAsia"/>
                <w:bCs/>
                <w:color w:val="000000" w:themeColor="text1"/>
                <w:spacing w:val="-10"/>
                <w:sz w:val="24"/>
                <w:lang w:val="en-US" w:eastAsia="zh-CN"/>
                <w14:textFill>
                  <w14:solidFill>
                    <w14:schemeClr w14:val="tx1"/>
                  </w14:solidFill>
                </w14:textFill>
              </w:rPr>
              <w:t>2</w:t>
            </w:r>
            <w:r>
              <w:rPr>
                <w:rFonts w:hint="eastAsia"/>
                <w:bCs/>
                <w:color w:val="000000" w:themeColor="text1"/>
                <w:spacing w:val="-10"/>
                <w:sz w:val="24"/>
                <w14:textFill>
                  <w14:solidFill>
                    <w14:schemeClr w14:val="tx1"/>
                  </w14:solidFill>
                </w14:textFill>
              </w:rPr>
              <w:t>）灰渣：</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仿宋_GB2312"/>
                <w:color w:val="000000" w:themeColor="text1"/>
                <w14:textFill>
                  <w14:solidFill>
                    <w14:schemeClr w14:val="tx1"/>
                  </w14:solidFill>
                </w14:textFill>
              </w:rPr>
            </w:pPr>
            <w:r>
              <w:rPr>
                <w:rFonts w:eastAsia="仿宋_GB2312"/>
                <w:color w:val="000000" w:themeColor="text1"/>
                <w:position w:val="-34"/>
                <w14:textFill>
                  <w14:solidFill>
                    <w14:schemeClr w14:val="tx1"/>
                  </w14:solidFill>
                </w14:textFill>
              </w:rPr>
              <w:object>
                <v:shape id="_x0000_i1031" o:spt="75" type="#_x0000_t75" style="height:41.15pt;width:169.7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3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t>
            </w:r>
            <w:r>
              <w:rPr>
                <w:rFonts w:hint="eastAsia"/>
                <w:i/>
                <w:iCs/>
                <w:color w:val="000000" w:themeColor="text1"/>
                <w:sz w:val="24"/>
                <w:szCs w:val="24"/>
                <w14:textFill>
                  <w14:solidFill>
                    <w14:schemeClr w14:val="tx1"/>
                  </w14:solidFill>
                </w14:textFill>
              </w:rPr>
              <w:t>E</w:t>
            </w:r>
            <w:r>
              <w:rPr>
                <w:rFonts w:hint="eastAsia"/>
                <w:i/>
                <w:iCs/>
                <w:color w:val="000000" w:themeColor="text1"/>
                <w:sz w:val="24"/>
                <w:szCs w:val="24"/>
                <w:vertAlign w:val="subscript"/>
                <w14:textFill>
                  <w14:solidFill>
                    <w14:schemeClr w14:val="tx1"/>
                  </w14:solidFill>
                </w14:textFill>
              </w:rPr>
              <w:t>hz</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核算时段内灰渣</w:t>
            </w:r>
            <w:r>
              <w:rPr>
                <w:color w:val="000000" w:themeColor="text1"/>
                <w:sz w:val="24"/>
                <w:szCs w:val="24"/>
                <w14:textFill>
                  <w14:solidFill>
                    <w14:schemeClr w14:val="tx1"/>
                  </w14:solidFill>
                </w14:textFill>
              </w:rPr>
              <w:t>产生量，t；</w:t>
            </w:r>
          </w:p>
          <w:p>
            <w:pPr>
              <w:keepNext w:val="0"/>
              <w:keepLines w:val="0"/>
              <w:pageBreakBefore w:val="0"/>
              <w:widowControl w:val="0"/>
              <w:kinsoku/>
              <w:wordWrap/>
              <w:overflowPunct/>
              <w:topLinePunct w:val="0"/>
              <w:autoSpaceDE/>
              <w:autoSpaceDN/>
              <w:bidi w:val="0"/>
              <w:adjustRightInd w:val="0"/>
              <w:snapToGrid w:val="0"/>
              <w:spacing w:line="360" w:lineRule="auto"/>
              <w:ind w:firstLine="1154" w:firstLineChars="481"/>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R</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核算时段内</w:t>
            </w:r>
            <w:r>
              <w:rPr>
                <w:color w:val="000000" w:themeColor="text1"/>
                <w:sz w:val="24"/>
                <w:szCs w:val="24"/>
                <w14:textFill>
                  <w14:solidFill>
                    <w14:schemeClr w14:val="tx1"/>
                  </w14:solidFill>
                </w14:textFill>
              </w:rPr>
              <w:t>锅炉燃</w:t>
            </w:r>
            <w:r>
              <w:rPr>
                <w:rFonts w:hint="eastAsia"/>
                <w:color w:val="000000" w:themeColor="text1"/>
                <w:sz w:val="24"/>
                <w:szCs w:val="24"/>
                <w:lang w:eastAsia="zh-CN"/>
                <w14:textFill>
                  <w14:solidFill>
                    <w14:schemeClr w14:val="tx1"/>
                  </w14:solidFill>
                </w14:textFill>
              </w:rPr>
              <w:t>料消</w:t>
            </w:r>
            <w:r>
              <w:rPr>
                <w:color w:val="000000" w:themeColor="text1"/>
                <w:sz w:val="24"/>
                <w:szCs w:val="24"/>
                <w14:textFill>
                  <w14:solidFill>
                    <w14:schemeClr w14:val="tx1"/>
                  </w14:solidFill>
                </w14:textFill>
              </w:rPr>
              <w:t>耗量，</w:t>
            </w:r>
            <w:r>
              <w:rPr>
                <w:rFonts w:hint="eastAsia" w:hAnsi="宋体" w:cs="Times New Roman"/>
                <w:b w:val="0"/>
                <w:bCs w:val="0"/>
                <w:color w:val="000000" w:themeColor="text1"/>
                <w:kern w:val="2"/>
                <w:sz w:val="24"/>
                <w:szCs w:val="24"/>
                <w:lang w:val="en-US" w:eastAsia="zh-CN" w:bidi="ar-SA"/>
                <w14:textFill>
                  <w14:solidFill>
                    <w14:schemeClr w14:val="tx1"/>
                  </w14:solidFill>
                </w14:textFill>
              </w:rPr>
              <w:t>4743.28</w:t>
            </w:r>
            <w:r>
              <w:rPr>
                <w:color w:val="000000" w:themeColor="text1"/>
                <w:sz w:val="24"/>
                <w:szCs w:val="24"/>
                <w14:textFill>
                  <w14:solidFill>
                    <w14:schemeClr w14:val="tx1"/>
                  </w14:solidFill>
                </w14:textFill>
              </w:rPr>
              <w:t>t；</w:t>
            </w:r>
          </w:p>
          <w:p>
            <w:pPr>
              <w:keepNext w:val="0"/>
              <w:keepLines w:val="0"/>
              <w:pageBreakBefore w:val="0"/>
              <w:widowControl w:val="0"/>
              <w:kinsoku/>
              <w:wordWrap/>
              <w:overflowPunct/>
              <w:topLinePunct w:val="0"/>
              <w:autoSpaceDE/>
              <w:autoSpaceDN/>
              <w:bidi w:val="0"/>
              <w:adjustRightInd w:val="0"/>
              <w:snapToGrid w:val="0"/>
              <w:spacing w:line="360" w:lineRule="auto"/>
              <w:ind w:firstLine="1154" w:firstLineChars="481"/>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i/>
                <w:iCs/>
                <w:color w:val="000000" w:themeColor="text1"/>
                <w:sz w:val="24"/>
                <w:szCs w:val="24"/>
                <w14:textFill>
                  <w14:solidFill>
                    <w14:schemeClr w14:val="tx1"/>
                  </w14:solidFill>
                </w14:textFill>
              </w:rPr>
              <w:t>A</w:t>
            </w:r>
            <w:r>
              <w:rPr>
                <w:i/>
                <w:iCs/>
                <w:color w:val="000000" w:themeColor="text1"/>
                <w:sz w:val="24"/>
                <w:szCs w:val="24"/>
                <w:vertAlign w:val="subscript"/>
                <w14:textFill>
                  <w14:solidFill>
                    <w14:schemeClr w14:val="tx1"/>
                  </w14:solidFill>
                </w14:textFill>
              </w:rPr>
              <w:t>a</w:t>
            </w:r>
            <w:r>
              <w:rPr>
                <w:color w:val="000000" w:themeColor="text1"/>
                <w:sz w:val="24"/>
                <w:szCs w:val="24"/>
                <w:vertAlign w:val="subscript"/>
                <w14:textFill>
                  <w14:solidFill>
                    <w14:schemeClr w14:val="tx1"/>
                  </w14:solidFill>
                </w14:textFill>
              </w:rPr>
              <w:t>r</w:t>
            </w:r>
            <w:r>
              <w:rPr>
                <w:color w:val="000000" w:themeColor="text1"/>
                <w:sz w:val="24"/>
                <w:szCs w:val="24"/>
                <w14:textFill>
                  <w14:solidFill>
                    <w14:schemeClr w14:val="tx1"/>
                  </w14:solidFill>
                </w14:textFill>
              </w:rPr>
              <w:t>——收到基</w:t>
            </w:r>
            <w:r>
              <w:rPr>
                <w:rFonts w:hint="eastAsia"/>
                <w:color w:val="000000" w:themeColor="text1"/>
                <w:sz w:val="24"/>
                <w:szCs w:val="24"/>
                <w14:textFill>
                  <w14:solidFill>
                    <w14:schemeClr w14:val="tx1"/>
                  </w14:solidFill>
                </w14:textFill>
              </w:rPr>
              <w:t>灰分的质量分数</w:t>
            </w:r>
            <w:r>
              <w:rPr>
                <w:color w:val="000000" w:themeColor="text1"/>
                <w:sz w:val="24"/>
                <w:szCs w:val="24"/>
                <w14:textFill>
                  <w14:solidFill>
                    <w14:schemeClr w14:val="tx1"/>
                  </w14:solidFill>
                </w14:textFill>
              </w:rPr>
              <w:t>，%，本次评价取16.33</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154" w:firstLineChars="481"/>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r>
              <w:rPr>
                <w:i/>
                <w:iCs/>
                <w:color w:val="000000" w:themeColor="text1"/>
                <w:sz w:val="24"/>
                <w:szCs w:val="24"/>
                <w14:textFill>
                  <w14:solidFill>
                    <w14:schemeClr w14:val="tx1"/>
                  </w14:solidFill>
                </w14:textFill>
              </w:rPr>
              <w:t>q</w:t>
            </w:r>
            <w:r>
              <w:rPr>
                <w:color w:val="000000" w:themeColor="text1"/>
                <w:sz w:val="24"/>
                <w:szCs w:val="24"/>
                <w:vertAlign w:val="subscript"/>
                <w14:textFill>
                  <w14:solidFill>
                    <w14:schemeClr w14:val="tx1"/>
                  </w14:solidFill>
                </w14:textFill>
              </w:rPr>
              <w:t>4</w:t>
            </w:r>
            <w:r>
              <w:rPr>
                <w:color w:val="000000" w:themeColor="text1"/>
                <w:sz w:val="24"/>
                <w:szCs w:val="24"/>
                <w14:textFill>
                  <w14:solidFill>
                    <w14:schemeClr w14:val="tx1"/>
                  </w14:solidFill>
                </w14:textFill>
              </w:rPr>
              <w:t>——锅炉机械未完全燃烧热损失，%，本次评价取</w:t>
            </w:r>
            <w:r>
              <w:rPr>
                <w:rFonts w:hint="eastAsia"/>
                <w:color w:val="000000" w:themeColor="text1"/>
                <w:sz w:val="24"/>
                <w:szCs w:val="24"/>
                <w14:textFill>
                  <w14:solidFill>
                    <w14:schemeClr w14:val="tx1"/>
                  </w14:solidFill>
                </w14:textFill>
              </w:rPr>
              <w:t>10</w:t>
            </w:r>
            <w:r>
              <w:rPr>
                <w:rFonts w:hint="eastAsia"/>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154" w:firstLineChars="481"/>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Q</w:t>
            </w:r>
            <w:r>
              <w:rPr>
                <w:color w:val="000000" w:themeColor="text1"/>
                <w:sz w:val="24"/>
                <w:szCs w:val="24"/>
                <w:vertAlign w:val="subscript"/>
                <w14:textFill>
                  <w14:solidFill>
                    <w14:schemeClr w14:val="tx1"/>
                  </w14:solidFill>
                </w14:textFill>
              </w:rPr>
              <w:t>net，ar</w:t>
            </w:r>
            <w:r>
              <w:rPr>
                <w:color w:val="000000" w:themeColor="text1"/>
                <w:sz w:val="24"/>
                <w:szCs w:val="24"/>
                <w14:textFill>
                  <w14:solidFill>
                    <w14:schemeClr w14:val="tx1"/>
                  </w14:solidFill>
                </w14:textFill>
              </w:rPr>
              <w:t>——燃料收到基低位发热量，kJ/kg，本次评价取</w:t>
            </w:r>
            <w:r>
              <w:rPr>
                <w:rFonts w:hint="eastAsia"/>
                <w:color w:val="000000" w:themeColor="text1"/>
                <w:sz w:val="24"/>
                <w:szCs w:val="24"/>
                <w14:textFill>
                  <w14:solidFill>
                    <w14:schemeClr w14:val="tx1"/>
                  </w14:solidFill>
                </w14:textFill>
              </w:rPr>
              <w:t>1413</w:t>
            </w:r>
            <w:r>
              <w:rPr>
                <w:color w:val="000000" w:themeColor="text1"/>
                <w:sz w:val="24"/>
                <w:szCs w:val="24"/>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bCs/>
                <w:color w:val="000000" w:themeColor="text1"/>
                <w:spacing w:val="-10"/>
                <w:sz w:val="24"/>
                <w14:textFill>
                  <w14:solidFill>
                    <w14:schemeClr w14:val="tx1"/>
                  </w14:solidFill>
                </w14:textFill>
              </w:rPr>
            </w:pPr>
            <w:r>
              <w:rPr>
                <w:rFonts w:hint="eastAsia"/>
                <w:bCs/>
                <w:color w:val="000000" w:themeColor="text1"/>
                <w:spacing w:val="-10"/>
                <w:sz w:val="24"/>
                <w14:textFill>
                  <w14:solidFill>
                    <w14:schemeClr w14:val="tx1"/>
                  </w14:solidFill>
                </w14:textFill>
              </w:rPr>
              <w:t>经计算，本项目灰渣</w:t>
            </w:r>
            <w:r>
              <w:rPr>
                <w:bCs/>
                <w:color w:val="000000" w:themeColor="text1"/>
                <w:spacing w:val="-10"/>
                <w:sz w:val="24"/>
                <w14:textFill>
                  <w14:solidFill>
                    <w14:schemeClr w14:val="tx1"/>
                  </w14:solidFill>
                </w14:textFill>
              </w:rPr>
              <w:t>产生量为</w:t>
            </w:r>
            <w:r>
              <w:rPr>
                <w:rFonts w:hint="eastAsia"/>
                <w:bCs/>
                <w:color w:val="000000" w:themeColor="text1"/>
                <w:spacing w:val="-10"/>
                <w:sz w:val="24"/>
                <w:lang w:val="en-US" w:eastAsia="zh-CN"/>
                <w14:textFill>
                  <w14:solidFill>
                    <w14:schemeClr w14:val="tx1"/>
                  </w14:solidFill>
                </w14:textFill>
              </w:rPr>
              <w:t>776.56</w:t>
            </w:r>
            <w:r>
              <w:rPr>
                <w:bCs/>
                <w:color w:val="000000" w:themeColor="text1"/>
                <w:spacing w:val="-10"/>
                <w:sz w:val="24"/>
                <w14:textFill>
                  <w14:solidFill>
                    <w14:schemeClr w14:val="tx1"/>
                  </w14:solidFill>
                </w14:textFill>
              </w:rPr>
              <w:t>t/a</w:t>
            </w:r>
            <w:r>
              <w:rPr>
                <w:rFonts w:hint="eastAsia"/>
                <w:bCs/>
                <w:color w:val="000000" w:themeColor="text1"/>
                <w:spacing w:val="-10"/>
                <w:sz w:val="24"/>
                <w14:textFill>
                  <w14:solidFill>
                    <w14:schemeClr w14:val="tx1"/>
                  </w14:solidFill>
                </w14:textFill>
              </w:rPr>
              <w:t>；</w:t>
            </w:r>
            <w:r>
              <w:rPr>
                <w:rFonts w:hint="eastAsia"/>
                <w:bCs/>
                <w:color w:val="000000" w:themeColor="text1"/>
                <w:spacing w:val="-10"/>
                <w:sz w:val="24"/>
                <w:lang w:val="en-US" w:eastAsia="zh-CN"/>
                <w14:textFill>
                  <w14:solidFill>
                    <w14:schemeClr w14:val="tx1"/>
                  </w14:solidFill>
                </w14:textFill>
              </w:rPr>
              <w:t>其中除尘灰产生量为386.13t/a，炉渣产生量为390.43t/a。</w:t>
            </w:r>
            <w:r>
              <w:rPr>
                <w:rFonts w:hint="eastAsia"/>
                <w:color w:val="000000" w:themeColor="text1"/>
                <w:sz w:val="24"/>
                <w14:textFill>
                  <w14:solidFill>
                    <w14:schemeClr w14:val="tx1"/>
                  </w14:solidFill>
                </w14:textFill>
              </w:rPr>
              <w:t>清理后直接装袋，</w:t>
            </w:r>
            <w:r>
              <w:rPr>
                <w:rFonts w:hint="eastAsia"/>
                <w:color w:val="000000" w:themeColor="text1"/>
                <w:sz w:val="24"/>
                <w:lang w:val="en-US" w:eastAsia="zh-CN"/>
                <w14:textFill>
                  <w14:solidFill>
                    <w14:schemeClr w14:val="tx1"/>
                  </w14:solidFill>
                </w14:textFill>
              </w:rPr>
              <w:t>暂存于灰渣间，本项目灰渣间为封闭结构，地面为一般硬化</w:t>
            </w:r>
            <w:r>
              <w:rPr>
                <w:rFonts w:hint="eastAsia"/>
                <w:color w:val="000000" w:themeColor="text1"/>
                <w:sz w:val="24"/>
                <w:highlight w:val="none"/>
                <w:lang w:val="en-US" w:eastAsia="zh-CN"/>
                <w14:textFill>
                  <w14:solidFill>
                    <w14:schemeClr w14:val="tx1"/>
                  </w14:solidFill>
                </w14:textFill>
              </w:rPr>
              <w:t>，最大储存量为60t，转运周期每月一次，符合《‌一般</w:t>
            </w:r>
            <w:r>
              <w:rPr>
                <w:rFonts w:hint="eastAsia"/>
                <w:color w:val="000000" w:themeColor="text1"/>
                <w:sz w:val="24"/>
                <w:lang w:val="en-US" w:eastAsia="zh-CN"/>
                <w14:textFill>
                  <w14:solidFill>
                    <w14:schemeClr w14:val="tx1"/>
                  </w14:solidFill>
                </w14:textFill>
              </w:rPr>
              <w:t>工业固体废物贮存和填埋污染控制标准‌》（‌GB 18599—2020‌）‌‌要求，本项目产生的灰渣</w:t>
            </w:r>
            <w:r>
              <w:rPr>
                <w:bCs/>
                <w:color w:val="000000" w:themeColor="text1"/>
                <w:spacing w:val="-10"/>
                <w:sz w:val="24"/>
                <w14:textFill>
                  <w14:solidFill>
                    <w14:schemeClr w14:val="tx1"/>
                  </w14:solidFill>
                </w14:textFill>
              </w:rPr>
              <w:t>外售综合利用。</w:t>
            </w:r>
            <w:r>
              <w:rPr>
                <w:rFonts w:hint="eastAsia"/>
                <w:bCs/>
                <w:color w:val="000000" w:themeColor="text1"/>
                <w:spacing w:val="-10"/>
                <w:sz w:val="24"/>
                <w14:textFill>
                  <w14:solidFill>
                    <w14:schemeClr w14:val="tx1"/>
                  </w14:solidFill>
                </w14:textFill>
              </w:rPr>
              <w:t>固体废物</w:t>
            </w:r>
            <w:r>
              <w:rPr>
                <w:color w:val="000000" w:themeColor="text1"/>
                <w:sz w:val="24"/>
                <w14:textFill>
                  <w14:solidFill>
                    <w14:schemeClr w14:val="tx1"/>
                  </w14:solidFill>
                </w14:textFill>
              </w:rPr>
              <w:t>代码为900-002-S02。</w:t>
            </w:r>
          </w:p>
          <w:p>
            <w:pPr>
              <w:tabs>
                <w:tab w:val="left" w:pos="1848"/>
                <w:tab w:val="left" w:pos="6061"/>
                <w:tab w:val="left" w:pos="8665"/>
              </w:tabs>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）废布袋</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本项目布袋每年换一次，产生废布袋0.1t/a，固体废物代码900-009-S59，由厂家检修后直接带走。</w:t>
            </w:r>
          </w:p>
          <w:p>
            <w:pPr>
              <w:adjustRightInd w:val="0"/>
              <w:snapToGrid w:val="0"/>
              <w:spacing w:line="360" w:lineRule="auto"/>
              <w:ind w:firstLine="440" w:firstLineChars="200"/>
              <w:rPr>
                <w:bCs/>
                <w:color w:val="000000" w:themeColor="text1"/>
                <w:spacing w:val="-10"/>
                <w:sz w:val="24"/>
                <w14:textFill>
                  <w14:solidFill>
                    <w14:schemeClr w14:val="tx1"/>
                  </w14:solidFill>
                </w14:textFill>
              </w:rPr>
            </w:pPr>
            <w:r>
              <w:rPr>
                <w:bCs/>
                <w:color w:val="000000" w:themeColor="text1"/>
                <w:spacing w:val="-10"/>
                <w:sz w:val="24"/>
                <w14:textFill>
                  <w14:solidFill>
                    <w14:schemeClr w14:val="tx1"/>
                  </w14:solidFill>
                </w14:textFill>
              </w:rPr>
              <w:t>本项目固体废物处置率100%，对外环境影响较小。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固体废物产生情况见表4-</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p>
          <w:p>
            <w:pPr>
              <w:pStyle w:val="117"/>
              <w:adjustRightInd/>
              <w:snapToGrid/>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表4-</w:t>
            </w:r>
            <w:r>
              <w:rPr>
                <w:rFonts w:hint="eastAsia" w:eastAsia="宋体"/>
                <w:b/>
                <w:bCs/>
                <w:color w:val="000000" w:themeColor="text1"/>
                <w:sz w:val="21"/>
                <w:szCs w:val="21"/>
                <w14:textFill>
                  <w14:solidFill>
                    <w14:schemeClr w14:val="tx1"/>
                  </w14:solidFill>
                </w14:textFill>
              </w:rPr>
              <w:t>1</w:t>
            </w:r>
            <w:r>
              <w:rPr>
                <w:rFonts w:hint="eastAsia" w:eastAsia="宋体"/>
                <w:b/>
                <w:bCs/>
                <w:color w:val="000000" w:themeColor="text1"/>
                <w:sz w:val="21"/>
                <w:szCs w:val="21"/>
                <w:lang w:val="en-US" w:eastAsia="zh-CN"/>
                <w14:textFill>
                  <w14:solidFill>
                    <w14:schemeClr w14:val="tx1"/>
                  </w14:solidFill>
                </w14:textFill>
              </w:rPr>
              <w:t>4</w:t>
            </w:r>
            <w:r>
              <w:rPr>
                <w:rFonts w:eastAsia="宋体"/>
                <w:b/>
                <w:bCs/>
                <w:color w:val="000000" w:themeColor="text1"/>
                <w:sz w:val="21"/>
                <w:szCs w:val="21"/>
                <w14:textFill>
                  <w14:solidFill>
                    <w14:schemeClr w14:val="tx1"/>
                  </w14:solidFill>
                </w14:textFill>
              </w:rPr>
              <w:t xml:space="preserve"> 固体废物污染源源强核算结果及相关参数一览表</w:t>
            </w:r>
          </w:p>
          <w:tbl>
            <w:tblPr>
              <w:tblStyle w:val="36"/>
              <w:tblW w:w="87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723"/>
              <w:gridCol w:w="1385"/>
              <w:gridCol w:w="1238"/>
              <w:gridCol w:w="1440"/>
              <w:gridCol w:w="1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51" w:type="dxa"/>
                  <w:vMerge w:val="restart"/>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固废属性</w:t>
                  </w:r>
                </w:p>
              </w:tc>
              <w:tc>
                <w:tcPr>
                  <w:tcW w:w="1723" w:type="dxa"/>
                  <w:vMerge w:val="restart"/>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固体废物名称</w:t>
                  </w:r>
                </w:p>
              </w:tc>
              <w:tc>
                <w:tcPr>
                  <w:tcW w:w="2623" w:type="dxa"/>
                  <w:gridSpan w:val="2"/>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w:t>
                  </w:r>
                </w:p>
              </w:tc>
              <w:tc>
                <w:tcPr>
                  <w:tcW w:w="3367" w:type="dxa"/>
                  <w:gridSpan w:val="2"/>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051" w:type="dxa"/>
                  <w:vMerge w:val="continue"/>
                  <w:tcBorders>
                    <w:tl2br w:val="nil"/>
                    <w:tr2bl w:val="nil"/>
                  </w:tcBorders>
                  <w:vAlign w:val="center"/>
                </w:tcPr>
                <w:p>
                  <w:pPr>
                    <w:pStyle w:val="127"/>
                    <w:adjustRightInd/>
                    <w:snapToGrid/>
                    <w:ind w:firstLine="480"/>
                    <w:rPr>
                      <w:color w:val="000000" w:themeColor="text1"/>
                      <w:szCs w:val="21"/>
                      <w14:textFill>
                        <w14:solidFill>
                          <w14:schemeClr w14:val="tx1"/>
                        </w14:solidFill>
                      </w14:textFill>
                    </w:rPr>
                  </w:pPr>
                </w:p>
              </w:tc>
              <w:tc>
                <w:tcPr>
                  <w:tcW w:w="1723" w:type="dxa"/>
                  <w:vMerge w:val="continue"/>
                  <w:tcBorders>
                    <w:tl2br w:val="nil"/>
                    <w:tr2bl w:val="nil"/>
                  </w:tcBorders>
                  <w:vAlign w:val="center"/>
                </w:tcPr>
                <w:p>
                  <w:pPr>
                    <w:pStyle w:val="127"/>
                    <w:adjustRightInd/>
                    <w:snapToGrid/>
                    <w:ind w:firstLine="480"/>
                    <w:rPr>
                      <w:color w:val="000000" w:themeColor="text1"/>
                      <w:szCs w:val="21"/>
                      <w14:textFill>
                        <w14:solidFill>
                          <w14:schemeClr w14:val="tx1"/>
                        </w14:solidFill>
                      </w14:textFill>
                    </w:rPr>
                  </w:pPr>
                </w:p>
              </w:tc>
              <w:tc>
                <w:tcPr>
                  <w:tcW w:w="1385" w:type="dxa"/>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核算方法</w:t>
                  </w:r>
                </w:p>
              </w:tc>
              <w:tc>
                <w:tcPr>
                  <w:tcW w:w="1238" w:type="dxa"/>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产生量（t/a）</w:t>
                  </w:r>
                </w:p>
              </w:tc>
              <w:tc>
                <w:tcPr>
                  <w:tcW w:w="1440" w:type="dxa"/>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处置量（t/a）</w:t>
                  </w:r>
                </w:p>
              </w:tc>
              <w:tc>
                <w:tcPr>
                  <w:tcW w:w="1927" w:type="dxa"/>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051" w:type="dxa"/>
                  <w:vMerge w:val="restart"/>
                  <w:tcBorders>
                    <w:tl2br w:val="nil"/>
                    <w:tr2bl w:val="nil"/>
                  </w:tcBorders>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一般工业固体废物</w:t>
                  </w:r>
                </w:p>
              </w:tc>
              <w:tc>
                <w:tcPr>
                  <w:tcW w:w="1723" w:type="dxa"/>
                  <w:tcBorders>
                    <w:tl2br w:val="nil"/>
                    <w:tr2bl w:val="nil"/>
                  </w:tcBorders>
                  <w:shd w:val="clear" w:color="auto" w:fill="auto"/>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灰渣</w:t>
                  </w:r>
                </w:p>
              </w:tc>
              <w:tc>
                <w:tcPr>
                  <w:tcW w:w="1385" w:type="dxa"/>
                  <w:tcBorders>
                    <w:tl2br w:val="nil"/>
                    <w:tr2bl w:val="nil"/>
                  </w:tcBorders>
                  <w:shd w:val="clear" w:color="auto" w:fill="auto"/>
                  <w:vAlign w:val="center"/>
                </w:tcPr>
                <w:p>
                  <w:pPr>
                    <w:pStyle w:val="127"/>
                    <w:adjustRightInd/>
                    <w:snapToGrid/>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物料衡算法</w:t>
                  </w:r>
                </w:p>
              </w:tc>
              <w:tc>
                <w:tcPr>
                  <w:tcW w:w="1238" w:type="dxa"/>
                  <w:tcBorders>
                    <w:tl2br w:val="nil"/>
                    <w:tr2bl w:val="nil"/>
                  </w:tcBorders>
                  <w:shd w:val="clear" w:color="auto" w:fill="auto"/>
                  <w:vAlign w:val="center"/>
                </w:tcPr>
                <w:p>
                  <w:pPr>
                    <w:pStyle w:val="127"/>
                    <w:adjustRightInd/>
                    <w:snapToGrid/>
                    <w:rPr>
                      <w:rFonts w:hint="default" w:eastAsia="宋体"/>
                      <w:color w:val="000000" w:themeColor="text1"/>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776.56</w:t>
                  </w:r>
                </w:p>
              </w:tc>
              <w:tc>
                <w:tcPr>
                  <w:tcW w:w="1440" w:type="dxa"/>
                  <w:tcBorders>
                    <w:tl2br w:val="nil"/>
                    <w:tr2bl w:val="nil"/>
                  </w:tcBorders>
                  <w:shd w:val="clear" w:color="auto" w:fill="auto"/>
                  <w:vAlign w:val="center"/>
                </w:tcPr>
                <w:p>
                  <w:pPr>
                    <w:pStyle w:val="127"/>
                    <w:adjustRightInd/>
                    <w:snapToGrid/>
                    <w:rPr>
                      <w:color w:val="000000" w:themeColor="text1"/>
                      <w:sz w:val="21"/>
                      <w:szCs w:val="21"/>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776.56</w:t>
                  </w:r>
                </w:p>
              </w:tc>
              <w:tc>
                <w:tcPr>
                  <w:tcW w:w="1927" w:type="dxa"/>
                  <w:tcBorders>
                    <w:tl2br w:val="nil"/>
                    <w:tr2bl w:val="nil"/>
                  </w:tcBorders>
                  <w:shd w:val="clear" w:color="auto" w:fill="auto"/>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集中收集，外售综合利用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051" w:type="dxa"/>
                  <w:vMerge w:val="continue"/>
                  <w:tcBorders>
                    <w:tl2br w:val="nil"/>
                    <w:tr2bl w:val="nil"/>
                  </w:tcBorders>
                  <w:vAlign w:val="center"/>
                </w:tcPr>
                <w:p>
                  <w:pPr>
                    <w:pStyle w:val="127"/>
                    <w:adjustRightInd/>
                    <w:snapToGrid/>
                    <w:rPr>
                      <w:color w:val="000000" w:themeColor="text1"/>
                      <w:szCs w:val="21"/>
                      <w14:textFill>
                        <w14:solidFill>
                          <w14:schemeClr w14:val="tx1"/>
                        </w14:solidFill>
                      </w14:textFill>
                    </w:rPr>
                  </w:pPr>
                </w:p>
              </w:tc>
              <w:tc>
                <w:tcPr>
                  <w:tcW w:w="1723" w:type="dxa"/>
                  <w:tcBorders>
                    <w:tl2br w:val="nil"/>
                    <w:tr2bl w:val="nil"/>
                  </w:tcBorders>
                  <w:shd w:val="clear" w:color="auto" w:fill="auto"/>
                  <w:vAlign w:val="center"/>
                </w:tcPr>
                <w:p>
                  <w:pPr>
                    <w:pStyle w:val="127"/>
                    <w:adjustRightInd/>
                    <w:snapToGrid/>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废布袋</w:t>
                  </w:r>
                </w:p>
              </w:tc>
              <w:tc>
                <w:tcPr>
                  <w:tcW w:w="1385" w:type="dxa"/>
                  <w:tcBorders>
                    <w:tl2br w:val="nil"/>
                    <w:tr2bl w:val="nil"/>
                  </w:tcBorders>
                  <w:shd w:val="clear" w:color="auto" w:fill="auto"/>
                  <w:vAlign w:val="center"/>
                </w:tcPr>
                <w:p>
                  <w:pPr>
                    <w:pStyle w:val="127"/>
                    <w:adjustRightInd/>
                    <w:snapToGrid/>
                    <w:rPr>
                      <w:color w:val="000000" w:themeColor="text1"/>
                      <w:szCs w:val="21"/>
                      <w14:textFill>
                        <w14:solidFill>
                          <w14:schemeClr w14:val="tx1"/>
                        </w14:solidFill>
                      </w14:textFill>
                    </w:rPr>
                  </w:pPr>
                  <w:r>
                    <w:rPr>
                      <w:color w:val="000000" w:themeColor="text1"/>
                      <w:szCs w:val="21"/>
                      <w14:textFill>
                        <w14:solidFill>
                          <w14:schemeClr w14:val="tx1"/>
                        </w14:solidFill>
                      </w14:textFill>
                    </w:rPr>
                    <w:t>类比法</w:t>
                  </w:r>
                </w:p>
              </w:tc>
              <w:tc>
                <w:tcPr>
                  <w:tcW w:w="1238" w:type="dxa"/>
                  <w:tcBorders>
                    <w:tl2br w:val="nil"/>
                    <w:tr2bl w:val="nil"/>
                  </w:tcBorders>
                  <w:shd w:val="clear" w:color="auto" w:fill="auto"/>
                  <w:vAlign w:val="center"/>
                </w:tcPr>
                <w:p>
                  <w:pPr>
                    <w:pStyle w:val="127"/>
                    <w:adjustRightInd/>
                    <w:snapToGrid/>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440" w:type="dxa"/>
                  <w:tcBorders>
                    <w:tl2br w:val="nil"/>
                    <w:tr2bl w:val="nil"/>
                  </w:tcBorders>
                  <w:shd w:val="clear" w:color="auto" w:fill="auto"/>
                  <w:vAlign w:val="center"/>
                </w:tcPr>
                <w:p>
                  <w:pPr>
                    <w:pStyle w:val="127"/>
                    <w:adjustRightInd/>
                    <w:snapToGrid/>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w:t>
                  </w:r>
                </w:p>
              </w:tc>
              <w:tc>
                <w:tcPr>
                  <w:tcW w:w="1927" w:type="dxa"/>
                  <w:tcBorders>
                    <w:tl2br w:val="nil"/>
                    <w:tr2bl w:val="nil"/>
                  </w:tcBorders>
                  <w:shd w:val="clear" w:color="auto" w:fill="auto"/>
                  <w:vAlign w:val="center"/>
                </w:tcPr>
                <w:p>
                  <w:pPr>
                    <w:pStyle w:val="127"/>
                    <w:adjustRightInd/>
                    <w:snapToGrid/>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厂家回收</w:t>
                  </w:r>
                </w:p>
              </w:tc>
            </w:tr>
          </w:tbl>
          <w:p>
            <w:pPr>
              <w:spacing w:line="360" w:lineRule="auto"/>
              <w:ind w:firstLine="440" w:firstLineChars="200"/>
              <w:rPr>
                <w:rFonts w:hint="eastAsia"/>
                <w:bCs/>
                <w:color w:val="000000" w:themeColor="text1"/>
                <w:spacing w:val="-10"/>
                <w:sz w:val="24"/>
                <w14:textFill>
                  <w14:solidFill>
                    <w14:schemeClr w14:val="tx1"/>
                  </w14:solidFill>
                </w14:textFill>
              </w:rPr>
            </w:pPr>
            <w:r>
              <w:rPr>
                <w:rFonts w:hint="eastAsia"/>
                <w:bCs/>
                <w:color w:val="000000" w:themeColor="text1"/>
                <w:spacing w:val="-10"/>
                <w:sz w:val="24"/>
                <w14:textFill>
                  <w14:solidFill>
                    <w14:schemeClr w14:val="tx1"/>
                  </w14:solidFill>
                </w14:textFill>
              </w:rPr>
              <w:t>综上所述，本项目产生的所有固废均得到了妥善的处理和应用，固体废物全部按国家要求进行了处理，固体废物处理处置率达到100%，因此，对外环境影响较小。</w:t>
            </w:r>
          </w:p>
          <w:bookmarkEnd w:id="38"/>
          <w:p>
            <w:pPr>
              <w:spacing w:line="360" w:lineRule="auto"/>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pPr>
              <w:rPr>
                <w:bCs/>
                <w:color w:val="000000" w:themeColor="text1"/>
                <w:spacing w:val="-10"/>
                <w:szCs w:val="21"/>
                <w14:textFill>
                  <w14:solidFill>
                    <w14:schemeClr w14:val="tx1"/>
                  </w14:solidFill>
                </w14:textFill>
              </w:rPr>
            </w:pPr>
          </w:p>
          <w:p>
            <w:pPr>
              <w:pStyle w:val="2"/>
              <w:rPr>
                <w:bCs/>
                <w:color w:val="000000" w:themeColor="text1"/>
                <w:spacing w:val="-10"/>
                <w:szCs w:val="21"/>
                <w14:textFill>
                  <w14:solidFill>
                    <w14:schemeClr w14:val="tx1"/>
                  </w14:solidFill>
                </w14:textFill>
              </w:rPr>
            </w:pPr>
          </w:p>
          <w:p/>
        </w:tc>
      </w:tr>
    </w:tbl>
    <w:p>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39" w:name="_Toc25380"/>
      <w:r>
        <w:rPr>
          <w:rFonts w:ascii="Times New Roman" w:hAnsi="Times New Roman" w:eastAsia="黑体"/>
          <w:snapToGrid w:val="0"/>
          <w:color w:val="000000" w:themeColor="text1"/>
          <w:sz w:val="30"/>
          <w:szCs w:val="30"/>
          <w14:textFill>
            <w14:solidFill>
              <w14:schemeClr w14:val="tx1"/>
            </w14:solidFill>
          </w14:textFill>
        </w:rPr>
        <w:t>五、</w:t>
      </w:r>
      <w:bookmarkStart w:id="40"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39"/>
      <w:bookmarkEnd w:id="40"/>
    </w:p>
    <w:tbl>
      <w:tblPr>
        <w:tblStyle w:val="36"/>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933"/>
        <w:gridCol w:w="932"/>
        <w:gridCol w:w="1241"/>
        <w:gridCol w:w="2172"/>
        <w:gridCol w:w="26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84" w:type="dxa"/>
            <w:tcBorders>
              <w:tl2br w:val="single" w:color="auto" w:sz="4" w:space="0"/>
            </w:tcBorders>
          </w:tcPr>
          <w:p>
            <w:pPr>
              <w:adjustRightInd w:val="0"/>
              <w:snapToGrid w:val="0"/>
              <w:ind w:firstLine="84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内容</w:t>
            </w:r>
          </w:p>
          <w:p>
            <w:pPr>
              <w:adjustRightInd w:val="0"/>
              <w:snapToGrid w:val="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要素</w:t>
            </w:r>
          </w:p>
        </w:tc>
        <w:tc>
          <w:tcPr>
            <w:tcW w:w="1865" w:type="dxa"/>
            <w:gridSpan w:val="2"/>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排放口</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编号、名称</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/污染源</w:t>
            </w:r>
          </w:p>
        </w:tc>
        <w:tc>
          <w:tcPr>
            <w:tcW w:w="1241"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污染物项目</w:t>
            </w:r>
          </w:p>
        </w:tc>
        <w:tc>
          <w:tcPr>
            <w:tcW w:w="2172"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环境保护措施</w:t>
            </w:r>
          </w:p>
        </w:tc>
        <w:tc>
          <w:tcPr>
            <w:tcW w:w="2676"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jc w:val="center"/>
        </w:trPr>
        <w:tc>
          <w:tcPr>
            <w:tcW w:w="1684"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大气环境</w:t>
            </w:r>
          </w:p>
        </w:tc>
        <w:tc>
          <w:tcPr>
            <w:tcW w:w="933" w:type="dxa"/>
            <w:tcBorders>
              <w:top w:val="single" w:color="auto" w:sz="4" w:space="0"/>
            </w:tcBorders>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锅炉</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排口</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DA001</w:t>
            </w:r>
          </w:p>
        </w:tc>
        <w:tc>
          <w:tcPr>
            <w:tcW w:w="932"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锅炉</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烟气</w:t>
            </w:r>
          </w:p>
        </w:tc>
        <w:tc>
          <w:tcPr>
            <w:tcW w:w="1241" w:type="dxa"/>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颗粒物</w:t>
            </w:r>
            <w:r>
              <w:rPr>
                <w:color w:val="000000" w:themeColor="text1"/>
                <w:sz w:val="24"/>
                <w:szCs w:val="24"/>
                <w14:textFill>
                  <w14:solidFill>
                    <w14:schemeClr w14:val="tx1"/>
                  </w14:solidFill>
                </w14:textFill>
              </w:rPr>
              <w:t>、SO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X</w:t>
            </w:r>
            <w:r>
              <w:rPr>
                <w:rFonts w:hint="eastAsia"/>
                <w:color w:val="000000" w:themeColor="text1"/>
                <w:sz w:val="24"/>
                <w:szCs w:val="24"/>
                <w:vertAlign w:val="subscript"/>
                <w14:textFill>
                  <w14:solidFill>
                    <w14:schemeClr w14:val="tx1"/>
                  </w14:solidFill>
                </w14:textFill>
              </w:rPr>
              <w:t>、</w:t>
            </w:r>
            <w:r>
              <w:rPr>
                <w:rFonts w:hint="eastAsia"/>
                <w:color w:val="000000" w:themeColor="text1"/>
                <w:sz w:val="24"/>
                <w:szCs w:val="24"/>
                <w14:textFill>
                  <w14:solidFill>
                    <w14:schemeClr w14:val="tx1"/>
                  </w14:solidFill>
                </w14:textFill>
              </w:rPr>
              <w:t>烟气黑度</w:t>
            </w:r>
          </w:p>
        </w:tc>
        <w:tc>
          <w:tcPr>
            <w:tcW w:w="2172"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低氮燃烧</w:t>
            </w:r>
            <w:r>
              <w:rPr>
                <w:rFonts w:hint="eastAsia"/>
                <w:color w:val="000000" w:themeColor="text1"/>
                <w:sz w:val="24"/>
                <w:szCs w:val="24"/>
                <w14:textFill>
                  <w14:solidFill>
                    <w14:schemeClr w14:val="tx1"/>
                  </w14:solidFill>
                </w14:textFill>
              </w:rPr>
              <w:t>技术+旋风除尘器+布袋除尘器+</w:t>
            </w:r>
            <w:r>
              <w:rPr>
                <w:rFonts w:hint="eastAsia"/>
                <w:color w:val="000000" w:themeColor="text1"/>
                <w:sz w:val="24"/>
                <w:szCs w:val="24"/>
                <w:lang w:val="en-US" w:eastAsia="zh-CN"/>
                <w14:textFill>
                  <w14:solidFill>
                    <w14:schemeClr w14:val="tx1"/>
                  </w14:solidFill>
                </w14:textFill>
              </w:rPr>
              <w:t>40</w:t>
            </w:r>
            <w:r>
              <w:rPr>
                <w:rFonts w:hint="eastAsia"/>
                <w:color w:val="000000" w:themeColor="text1"/>
                <w:sz w:val="24"/>
                <w:szCs w:val="24"/>
                <w14:textFill>
                  <w14:solidFill>
                    <w14:schemeClr w14:val="tx1"/>
                  </w14:solidFill>
                </w14:textFill>
              </w:rPr>
              <w:t>m高</w:t>
            </w:r>
            <w:r>
              <w:rPr>
                <w:rFonts w:hint="eastAsia"/>
                <w:color w:val="000000" w:themeColor="text1"/>
                <w:sz w:val="24"/>
                <w:szCs w:val="24"/>
                <w:lang w:val="en-US" w:eastAsia="zh-CN"/>
                <w14:textFill>
                  <w14:solidFill>
                    <w14:schemeClr w14:val="tx1"/>
                  </w14:solidFill>
                </w14:textFill>
              </w:rPr>
              <w:t>烟囱</w:t>
            </w:r>
            <w:r>
              <w:rPr>
                <w:rFonts w:hint="eastAsia"/>
                <w:color w:val="000000" w:themeColor="text1"/>
                <w:sz w:val="24"/>
                <w:szCs w:val="24"/>
                <w14:textFill>
                  <w14:solidFill>
                    <w14:schemeClr w14:val="tx1"/>
                  </w14:solidFill>
                </w14:textFill>
              </w:rPr>
              <w:t>排放</w:t>
            </w:r>
          </w:p>
        </w:tc>
        <w:tc>
          <w:tcPr>
            <w:tcW w:w="2676"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《锅炉大气污染物排放标准》（GB13271-2014）</w:t>
            </w:r>
            <w:r>
              <w:rPr>
                <w:rFonts w:hint="eastAsia"/>
                <w:color w:val="000000" w:themeColor="text1"/>
                <w:sz w:val="24"/>
                <w:szCs w:val="24"/>
                <w14:textFill>
                  <w14:solidFill>
                    <w14:schemeClr w14:val="tx1"/>
                  </w14:solidFill>
                </w14:textFill>
              </w:rPr>
              <w:t>表2</w:t>
            </w:r>
            <w:r>
              <w:rPr>
                <w:color w:val="000000" w:themeColor="text1"/>
                <w:sz w:val="24"/>
                <w:szCs w:val="24"/>
                <w14:textFill>
                  <w14:solidFill>
                    <w14:schemeClr w14:val="tx1"/>
                  </w14:solidFill>
                </w14:textFill>
              </w:rPr>
              <w:t>燃</w:t>
            </w:r>
            <w:r>
              <w:rPr>
                <w:rFonts w:hint="eastAsia"/>
                <w:color w:val="000000" w:themeColor="text1"/>
                <w:sz w:val="24"/>
                <w:szCs w:val="24"/>
                <w14:textFill>
                  <w14:solidFill>
                    <w14:schemeClr w14:val="tx1"/>
                  </w14:solidFill>
                </w14:textFill>
              </w:rPr>
              <w:t>煤</w:t>
            </w:r>
            <w:r>
              <w:rPr>
                <w:color w:val="000000" w:themeColor="text1"/>
                <w:sz w:val="24"/>
                <w:szCs w:val="24"/>
                <w14:textFill>
                  <w14:solidFill>
                    <w14:schemeClr w14:val="tx1"/>
                  </w14:solidFill>
                </w14:textFill>
              </w:rPr>
              <w:t>锅炉</w:t>
            </w:r>
            <w:r>
              <w:rPr>
                <w:rFonts w:hint="eastAsia"/>
                <w:color w:val="000000" w:themeColor="text1"/>
                <w:sz w:val="24"/>
                <w:szCs w:val="24"/>
                <w14:textFill>
                  <w14:solidFill>
                    <w14:schemeClr w14:val="tx1"/>
                  </w14:solidFill>
                </w14:textFill>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03" w:hRule="atLeast"/>
          <w:jc w:val="center"/>
        </w:trPr>
        <w:tc>
          <w:tcPr>
            <w:tcW w:w="1684" w:type="dxa"/>
            <w:vMerge w:val="restart"/>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地表水环境</w:t>
            </w:r>
          </w:p>
        </w:tc>
        <w:tc>
          <w:tcPr>
            <w:tcW w:w="1865" w:type="dxa"/>
            <w:gridSpan w:val="2"/>
            <w:vAlign w:val="center"/>
          </w:tcPr>
          <w:p>
            <w:pPr>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锅炉废水</w:t>
            </w:r>
          </w:p>
        </w:tc>
        <w:tc>
          <w:tcPr>
            <w:tcW w:w="1241" w:type="dxa"/>
            <w:tcBorders>
              <w:bottom w:val="single" w:color="auto" w:sz="4" w:space="0"/>
            </w:tcBorders>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COD、</w:t>
            </w:r>
          </w:p>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、全盐量</w:t>
            </w:r>
          </w:p>
        </w:tc>
        <w:tc>
          <w:tcPr>
            <w:tcW w:w="2172" w:type="dxa"/>
            <w:vMerge w:val="restart"/>
            <w:shd w:val="clear" w:color="auto" w:fill="auto"/>
            <w:vAlign w:val="center"/>
          </w:tcPr>
          <w:p>
            <w:pPr>
              <w:adjustRightInd w:val="0"/>
              <w:jc w:val="center"/>
              <w:textAlignment w:val="baseline"/>
              <w:rPr>
                <w:b/>
                <w:bCs/>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通过市政管网排放至向阳乡雪水温村污水处理站</w:t>
            </w:r>
          </w:p>
        </w:tc>
        <w:tc>
          <w:tcPr>
            <w:tcW w:w="2676" w:type="dxa"/>
            <w:vMerge w:val="restart"/>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《污水综合排放标准》（GB8978-1996）表4中三级排放标准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1684" w:type="dxa"/>
            <w:vMerge w:val="continue"/>
            <w:vAlign w:val="center"/>
          </w:tcPr>
          <w:p>
            <w:pPr>
              <w:adjustRightInd w:val="0"/>
              <w:snapToGrid w:val="0"/>
              <w:jc w:val="center"/>
              <w:rPr>
                <w:color w:val="000000" w:themeColor="text1"/>
                <w:sz w:val="24"/>
                <w:szCs w:val="24"/>
                <w14:textFill>
                  <w14:solidFill>
                    <w14:schemeClr w14:val="tx1"/>
                  </w14:solidFill>
                </w14:textFill>
              </w:rPr>
            </w:pPr>
          </w:p>
        </w:tc>
        <w:tc>
          <w:tcPr>
            <w:tcW w:w="1865" w:type="dxa"/>
            <w:gridSpan w:val="2"/>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生活污水</w:t>
            </w:r>
          </w:p>
        </w:tc>
        <w:tc>
          <w:tcPr>
            <w:tcW w:w="1241" w:type="dxa"/>
            <w:tcBorders>
              <w:bottom w:val="single" w:color="auto" w:sz="4" w:space="0"/>
            </w:tcBorders>
            <w:shd w:val="clear" w:color="auto" w:fill="auto"/>
            <w:vAlign w:val="center"/>
          </w:tcPr>
          <w:p>
            <w:pPr>
              <w:pStyle w:val="143"/>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cs="Times New Roman"/>
                <w:color w:val="auto"/>
                <w:sz w:val="24"/>
                <w:szCs w:val="24"/>
                <w:highlight w:val="none"/>
              </w:rPr>
              <w:t>COD、氨氮</w:t>
            </w:r>
          </w:p>
        </w:tc>
        <w:tc>
          <w:tcPr>
            <w:tcW w:w="2172" w:type="dxa"/>
            <w:vMerge w:val="continue"/>
            <w:shd w:val="clear" w:color="auto" w:fill="auto"/>
            <w:vAlign w:val="center"/>
          </w:tcPr>
          <w:p>
            <w:pPr>
              <w:adjustRightInd w:val="0"/>
              <w:jc w:val="center"/>
              <w:textAlignment w:val="baseline"/>
              <w:rPr>
                <w:rFonts w:hint="eastAsia"/>
                <w:color w:val="000000" w:themeColor="text1"/>
                <w:sz w:val="24"/>
                <w:szCs w:val="24"/>
                <w:highlight w:val="yellow"/>
                <w14:textFill>
                  <w14:solidFill>
                    <w14:schemeClr w14:val="tx1"/>
                  </w14:solidFill>
                </w14:textFill>
              </w:rPr>
            </w:pPr>
          </w:p>
        </w:tc>
        <w:tc>
          <w:tcPr>
            <w:tcW w:w="2676" w:type="dxa"/>
            <w:vMerge w:val="continue"/>
            <w:vAlign w:val="center"/>
          </w:tcPr>
          <w:p>
            <w:pPr>
              <w:adjustRightInd w:val="0"/>
              <w:snapToGrid w:val="0"/>
              <w:jc w:val="center"/>
              <w:rPr>
                <w:rFonts w:hint="eastAsia" w:ascii="宋体" w:hAnsi="宋体"/>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2" w:hRule="atLeast"/>
          <w:jc w:val="center"/>
        </w:trPr>
        <w:tc>
          <w:tcPr>
            <w:tcW w:w="1684"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声环境</w:t>
            </w:r>
          </w:p>
        </w:tc>
        <w:tc>
          <w:tcPr>
            <w:tcW w:w="1865" w:type="dxa"/>
            <w:gridSpan w:val="2"/>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生产设备</w:t>
            </w:r>
          </w:p>
        </w:tc>
        <w:tc>
          <w:tcPr>
            <w:tcW w:w="1241"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噪声</w:t>
            </w:r>
          </w:p>
        </w:tc>
        <w:tc>
          <w:tcPr>
            <w:tcW w:w="2172" w:type="dxa"/>
            <w:vAlign w:val="center"/>
          </w:tcPr>
          <w:p>
            <w:pPr>
              <w:adjustRightInd w:val="0"/>
              <w:snapToGrid w:val="0"/>
              <w:jc w:val="center"/>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低噪声设备、设备装设</w:t>
            </w:r>
            <w:r>
              <w:rPr>
                <w:rFonts w:hint="eastAsia" w:ascii="宋体" w:hAnsi="宋体"/>
                <w:color w:val="000000" w:themeColor="text1"/>
                <w:sz w:val="24"/>
                <w:szCs w:val="24"/>
                <w:lang w:eastAsia="zh-CN"/>
                <w14:textFill>
                  <w14:solidFill>
                    <w14:schemeClr w14:val="tx1"/>
                  </w14:solidFill>
                </w14:textFill>
              </w:rPr>
              <w:t>减振</w:t>
            </w:r>
            <w:r>
              <w:rPr>
                <w:rFonts w:hint="eastAsia" w:ascii="宋体" w:hAnsi="宋体"/>
                <w:color w:val="000000" w:themeColor="text1"/>
                <w:sz w:val="24"/>
                <w:szCs w:val="24"/>
                <w14:textFill>
                  <w14:solidFill>
                    <w14:schemeClr w14:val="tx1"/>
                  </w14:solidFill>
                </w14:textFill>
              </w:rPr>
              <w:t>垫</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厂房隔声</w:t>
            </w:r>
          </w:p>
        </w:tc>
        <w:tc>
          <w:tcPr>
            <w:tcW w:w="2676" w:type="dxa"/>
            <w:vAlign w:val="center"/>
          </w:tcPr>
          <w:p>
            <w:pPr>
              <w:adjustRightInd w:val="0"/>
              <w:snapToGrid w:val="0"/>
              <w:jc w:val="center"/>
              <w:rPr>
                <w:rFonts w:hint="eastAsia" w:ascii="宋体"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厂界噪声执行《工业企业厂界环境噪声排放标准》（GB12348-2008）表1中2类标准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684"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电磁辐射</w:t>
            </w:r>
          </w:p>
        </w:tc>
        <w:tc>
          <w:tcPr>
            <w:tcW w:w="1865" w:type="dxa"/>
            <w:gridSpan w:val="2"/>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c>
          <w:tcPr>
            <w:tcW w:w="1241"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c>
          <w:tcPr>
            <w:tcW w:w="2172"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c>
          <w:tcPr>
            <w:tcW w:w="2676"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684"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固体废物</w:t>
            </w:r>
          </w:p>
        </w:tc>
        <w:tc>
          <w:tcPr>
            <w:tcW w:w="7954" w:type="dxa"/>
            <w:gridSpan w:val="5"/>
            <w:vAlign w:val="center"/>
          </w:tcPr>
          <w:p>
            <w:pPr>
              <w:pStyle w:val="127"/>
              <w:spacing w:line="240" w:lineRule="auto"/>
              <w:jc w:val="left"/>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生活垃圾：集中收集，定期交由环卫部门处置。</w:t>
            </w:r>
          </w:p>
          <w:p>
            <w:pPr>
              <w:pStyle w:val="127"/>
              <w:spacing w:line="240" w:lineRule="auto"/>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灰渣：集中收集在</w:t>
            </w:r>
            <w:r>
              <w:rPr>
                <w:rFonts w:hint="eastAsia" w:ascii="Times New Roman"/>
                <w:color w:val="000000" w:themeColor="text1"/>
                <w:sz w:val="24"/>
                <w:szCs w:val="24"/>
                <w14:textFill>
                  <w14:solidFill>
                    <w14:schemeClr w14:val="tx1"/>
                  </w14:solidFill>
                </w14:textFill>
              </w:rPr>
              <w:t>灰渣仓</w:t>
            </w:r>
            <w:r>
              <w:rPr>
                <w:rFonts w:hint="eastAsia"/>
                <w:color w:val="000000" w:themeColor="text1"/>
                <w:sz w:val="24"/>
                <w:szCs w:val="24"/>
                <w14:textFill>
                  <w14:solidFill>
                    <w14:schemeClr w14:val="tx1"/>
                  </w14:solidFill>
                </w14:textFill>
              </w:rPr>
              <w:t>内，定期外售综合利用。</w:t>
            </w:r>
          </w:p>
          <w:p>
            <w:pPr>
              <w:pStyle w:val="127"/>
              <w:spacing w:line="240" w:lineRule="auto"/>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废布袋：厂家更换后回收处置。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684"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土壤及地下水</w:t>
            </w:r>
          </w:p>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污染防治措施</w:t>
            </w:r>
          </w:p>
        </w:tc>
        <w:tc>
          <w:tcPr>
            <w:tcW w:w="7954"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1684" w:type="dxa"/>
            <w:vAlign w:val="center"/>
          </w:tcPr>
          <w:p>
            <w:pPr>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生态保护措施</w:t>
            </w:r>
          </w:p>
        </w:tc>
        <w:tc>
          <w:tcPr>
            <w:tcW w:w="7954" w:type="dxa"/>
            <w:gridSpan w:val="5"/>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684" w:type="dxa"/>
            <w:vAlign w:val="center"/>
          </w:tcPr>
          <w:p>
            <w:pPr>
              <w:adjustRightInd w:val="0"/>
              <w:snapToGrid w:val="0"/>
              <w:jc w:val="center"/>
              <w:rPr>
                <w:color w:val="000000" w:themeColor="text1"/>
                <w:spacing w:val="-8"/>
                <w:sz w:val="24"/>
                <w:szCs w:val="24"/>
                <w14:textFill>
                  <w14:solidFill>
                    <w14:schemeClr w14:val="tx1"/>
                  </w14:solidFill>
                </w14:textFill>
              </w:rPr>
            </w:pPr>
            <w:r>
              <w:rPr>
                <w:color w:val="000000" w:themeColor="text1"/>
                <w:spacing w:val="-8"/>
                <w:sz w:val="24"/>
                <w:szCs w:val="24"/>
                <w14:textFill>
                  <w14:solidFill>
                    <w14:schemeClr w14:val="tx1"/>
                  </w14:solidFill>
                </w14:textFill>
              </w:rPr>
              <w:t>环境风险</w:t>
            </w:r>
          </w:p>
          <w:p>
            <w:pPr>
              <w:adjustRightInd w:val="0"/>
              <w:snapToGrid w:val="0"/>
              <w:jc w:val="center"/>
              <w:rPr>
                <w:color w:val="000000" w:themeColor="text1"/>
                <w:spacing w:val="-8"/>
                <w:sz w:val="24"/>
                <w:szCs w:val="24"/>
                <w14:textFill>
                  <w14:solidFill>
                    <w14:schemeClr w14:val="tx1"/>
                  </w14:solidFill>
                </w14:textFill>
              </w:rPr>
            </w:pPr>
            <w:r>
              <w:rPr>
                <w:color w:val="000000" w:themeColor="text1"/>
                <w:spacing w:val="-8"/>
                <w:sz w:val="24"/>
                <w:szCs w:val="24"/>
                <w14:textFill>
                  <w14:solidFill>
                    <w14:schemeClr w14:val="tx1"/>
                  </w14:solidFill>
                </w14:textFill>
              </w:rPr>
              <w:t>防范措施</w:t>
            </w:r>
          </w:p>
        </w:tc>
        <w:tc>
          <w:tcPr>
            <w:tcW w:w="7954"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1684" w:type="dxa"/>
            <w:vAlign w:val="center"/>
          </w:tcPr>
          <w:p>
            <w:pPr>
              <w:adjustRightInd w:val="0"/>
              <w:snapToGrid w:val="0"/>
              <w:jc w:val="center"/>
              <w:rPr>
                <w:color w:val="000000" w:themeColor="text1"/>
                <w:spacing w:val="-8"/>
                <w:sz w:val="24"/>
                <w:szCs w:val="24"/>
                <w14:textFill>
                  <w14:solidFill>
                    <w14:schemeClr w14:val="tx1"/>
                  </w14:solidFill>
                </w14:textFill>
              </w:rPr>
            </w:pPr>
            <w:r>
              <w:rPr>
                <w:color w:val="000000" w:themeColor="text1"/>
                <w:spacing w:val="-8"/>
                <w:sz w:val="24"/>
                <w:szCs w:val="24"/>
                <w14:textFill>
                  <w14:solidFill>
                    <w14:schemeClr w14:val="tx1"/>
                  </w14:solidFill>
                </w14:textFill>
              </w:rPr>
              <w:t>其他环境</w:t>
            </w:r>
          </w:p>
          <w:p>
            <w:pPr>
              <w:adjustRightInd w:val="0"/>
              <w:snapToGrid w:val="0"/>
              <w:jc w:val="center"/>
              <w:rPr>
                <w:color w:val="000000" w:themeColor="text1"/>
                <w:spacing w:val="-8"/>
                <w:sz w:val="24"/>
                <w:szCs w:val="24"/>
                <w14:textFill>
                  <w14:solidFill>
                    <w14:schemeClr w14:val="tx1"/>
                  </w14:solidFill>
                </w14:textFill>
              </w:rPr>
            </w:pPr>
            <w:r>
              <w:rPr>
                <w:color w:val="000000" w:themeColor="text1"/>
                <w:spacing w:val="-8"/>
                <w:sz w:val="24"/>
                <w:szCs w:val="24"/>
                <w14:textFill>
                  <w14:solidFill>
                    <w14:schemeClr w14:val="tx1"/>
                  </w14:solidFill>
                </w14:textFill>
              </w:rPr>
              <w:t>管理要求</w:t>
            </w:r>
          </w:p>
        </w:tc>
        <w:tc>
          <w:tcPr>
            <w:tcW w:w="7954" w:type="dxa"/>
            <w:gridSpan w:val="5"/>
            <w:vAlign w:val="center"/>
          </w:tcPr>
          <w:p>
            <w:pPr>
              <w:adjustRightInd w:val="0"/>
              <w:snapToGrid w:val="0"/>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根据《固定污染源排污许可分类管理名录》（2019年版），本项目属于“</w:t>
            </w:r>
            <w:r>
              <w:rPr>
                <w:rFonts w:hint="eastAsia"/>
                <w:color w:val="000000" w:themeColor="text1"/>
                <w:sz w:val="24"/>
                <w:szCs w:val="24"/>
                <w14:textFill>
                  <w14:solidFill>
                    <w14:schemeClr w14:val="tx1"/>
                  </w14:solidFill>
                </w14:textFill>
              </w:rPr>
              <w:t>三十九、电力、热力生产和供应业 44</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96</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热力生产和供应 443</w:t>
            </w:r>
            <w:r>
              <w:rPr>
                <w:rFonts w:hint="eastAsia"/>
                <w:color w:val="000000" w:themeColor="text1"/>
                <w:sz w:val="24"/>
                <w:szCs w:val="24"/>
                <w:lang w:val="en-US" w:eastAsia="zh-CN"/>
                <w14:textFill>
                  <w14:solidFill>
                    <w14:schemeClr w14:val="tx1"/>
                  </w14:solidFill>
                </w14:textFill>
              </w:rPr>
              <w:t xml:space="preserve"> 单台且合计出力 20 吨/小时（14 兆瓦）以下的锅炉（不含电热锅炉和单台且合计出力 1 吨/小时（0.7 兆瓦）及以下的天然气锅炉）</w:t>
            </w:r>
            <w:r>
              <w:rPr>
                <w:color w:val="000000" w:themeColor="text1"/>
                <w:sz w:val="24"/>
                <w:szCs w:val="24"/>
                <w14:textFill>
                  <w14:solidFill>
                    <w14:schemeClr w14:val="tx1"/>
                  </w14:solidFill>
                </w14:textFill>
              </w:rPr>
              <w:t>，需要进行排污许可证</w:t>
            </w:r>
            <w:r>
              <w:rPr>
                <w:rFonts w:hint="eastAsia"/>
                <w:color w:val="000000" w:themeColor="text1"/>
                <w:sz w:val="24"/>
                <w:szCs w:val="24"/>
                <w:lang w:val="en-US" w:eastAsia="zh-CN"/>
                <w14:textFill>
                  <w14:solidFill>
                    <w14:schemeClr w14:val="tx1"/>
                  </w14:solidFill>
                </w14:textFill>
              </w:rPr>
              <w:t>简化</w:t>
            </w:r>
            <w:r>
              <w:rPr>
                <w:color w:val="000000" w:themeColor="text1"/>
                <w:sz w:val="24"/>
                <w:szCs w:val="24"/>
                <w14:textFill>
                  <w14:solidFill>
                    <w14:schemeClr w14:val="tx1"/>
                  </w14:solidFill>
                </w14:textFill>
              </w:rPr>
              <w:t>管理。</w:t>
            </w:r>
          </w:p>
        </w:tc>
      </w:tr>
    </w:tbl>
    <w:p>
      <w:pPr>
        <w:pStyle w:val="3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41" w:name="_Toc29023"/>
      <w:r>
        <w:rPr>
          <w:rFonts w:ascii="Times New Roman" w:hAnsi="Times New Roman" w:eastAsia="黑体"/>
          <w:snapToGrid w:val="0"/>
          <w:color w:val="000000" w:themeColor="text1"/>
          <w:sz w:val="30"/>
          <w:szCs w:val="30"/>
          <w14:textFill>
            <w14:solidFill>
              <w14:schemeClr w14:val="tx1"/>
            </w14:solidFill>
          </w14:textFill>
        </w:rPr>
        <w:t>六、结论</w:t>
      </w:r>
      <w:bookmarkEnd w:id="41"/>
    </w:p>
    <w:tbl>
      <w:tblPr>
        <w:tblStyle w:val="36"/>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638" w:type="dxa"/>
            <w:vAlign w:val="top"/>
          </w:tcPr>
          <w:p>
            <w:pPr>
              <w:spacing w:line="360" w:lineRule="auto"/>
              <w:ind w:firstLine="480"/>
              <w:rPr>
                <w:color w:val="000000" w:themeColor="text1"/>
                <w:sz w:val="24"/>
                <w14:textFill>
                  <w14:solidFill>
                    <w14:schemeClr w14:val="tx1"/>
                  </w14:solidFill>
                </w14:textFill>
              </w:rPr>
            </w:pPr>
            <w:bookmarkStart w:id="42" w:name="_Hlk77175778"/>
            <w:r>
              <w:rPr>
                <w:color w:val="000000" w:themeColor="text1"/>
                <w:sz w:val="24"/>
                <w14:textFill>
                  <w14:solidFill>
                    <w14:schemeClr w14:val="tx1"/>
                  </w14:solidFill>
                </w14:textFill>
              </w:rPr>
              <w:t>本项目符合产业政策要求；项目选址符合用地规划要求；</w:t>
            </w:r>
            <w:r>
              <w:rPr>
                <w:rFonts w:hint="eastAsia"/>
                <w:color w:val="000000" w:themeColor="text1"/>
                <w:sz w:val="24"/>
                <w14:textFill>
                  <w14:solidFill>
                    <w14:schemeClr w14:val="tx1"/>
                  </w14:solidFill>
                </w14:textFill>
              </w:rPr>
              <w:t>产生</w:t>
            </w:r>
            <w:r>
              <w:rPr>
                <w:color w:val="000000" w:themeColor="text1"/>
                <w:sz w:val="24"/>
                <w14:textFill>
                  <w14:solidFill>
                    <w14:schemeClr w14:val="tx1"/>
                  </w14:solidFill>
                </w14:textFill>
              </w:rPr>
              <w:t>的废气、废水和噪声均能达标排放，固体废物</w:t>
            </w:r>
            <w:r>
              <w:rPr>
                <w:rFonts w:hint="eastAsia"/>
                <w:color w:val="000000" w:themeColor="text1"/>
                <w:sz w:val="24"/>
                <w14:textFill>
                  <w14:solidFill>
                    <w14:schemeClr w14:val="tx1"/>
                  </w14:solidFill>
                </w14:textFill>
              </w:rPr>
              <w:t>得到有效</w:t>
            </w:r>
            <w:r>
              <w:rPr>
                <w:rFonts w:hint="eastAsia"/>
                <w:color w:val="000000" w:themeColor="text1"/>
                <w:sz w:val="24"/>
                <w:lang w:eastAsia="zh-CN"/>
                <w14:textFill>
                  <w14:solidFill>
                    <w14:schemeClr w14:val="tx1"/>
                  </w14:solidFill>
                </w14:textFill>
              </w:rPr>
              <w:t>处理</w:t>
            </w:r>
            <w:r>
              <w:rPr>
                <w:color w:val="000000" w:themeColor="text1"/>
                <w:sz w:val="24"/>
                <w14:textFill>
                  <w14:solidFill>
                    <w14:schemeClr w14:val="tx1"/>
                  </w14:solidFill>
                </w14:textFill>
              </w:rPr>
              <w:t>，环境影响可接受</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只要项目在实施过程中，切实落实本报告提出的施工期及运营期各项污染防治措施，确保环境保护措施与主体工程同时设计、同时施工、同时投运</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从环境保护角度分析，本项目是可行的。</w:t>
            </w:r>
          </w:p>
          <w:bookmarkEnd w:id="42"/>
          <w:p>
            <w:pPr>
              <w:spacing w:line="360" w:lineRule="auto"/>
              <w:rPr>
                <w:color w:val="000000" w:themeColor="text1"/>
                <w:sz w:val="24"/>
                <w14:textFill>
                  <w14:solidFill>
                    <w14:schemeClr w14:val="tx1"/>
                  </w14:solidFill>
                </w14:textFill>
              </w:rPr>
            </w:pPr>
          </w:p>
        </w:tc>
      </w:tr>
    </w:tbl>
    <w:p>
      <w:pPr>
        <w:rPr>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adjustRightInd w:val="0"/>
        <w:snapToGrid w:val="0"/>
        <w:spacing w:before="0" w:beforeAutospacing="0" w:after="0" w:afterAutospacing="0"/>
        <w:outlineLvl w:val="0"/>
        <w:rPr>
          <w:rFonts w:ascii="Times New Roman" w:hAnsi="Times New Roman" w:eastAsia="黑体"/>
          <w:snapToGrid w:val="0"/>
          <w:color w:val="000000" w:themeColor="text1"/>
          <w:sz w:val="32"/>
          <w:szCs w:val="32"/>
          <w14:textFill>
            <w14:solidFill>
              <w14:schemeClr w14:val="tx1"/>
            </w14:solidFill>
          </w14:textFill>
        </w:rPr>
      </w:pPr>
      <w:bookmarkStart w:id="43" w:name="_Toc29510"/>
      <w:r>
        <w:rPr>
          <w:rFonts w:ascii="Times New Roman" w:hAnsi="Times New Roman" w:eastAsia="黑体"/>
          <w:snapToGrid w:val="0"/>
          <w:color w:val="000000" w:themeColor="text1"/>
          <w:sz w:val="32"/>
          <w:szCs w:val="32"/>
          <w14:textFill>
            <w14:solidFill>
              <w14:schemeClr w14:val="tx1"/>
            </w14:solidFill>
          </w14:textFill>
        </w:rPr>
        <w:t>附表</w:t>
      </w:r>
      <w:bookmarkEnd w:id="43"/>
    </w:p>
    <w:p>
      <w:pPr>
        <w:pStyle w:val="31"/>
        <w:adjustRightInd w:val="0"/>
        <w:snapToGrid w:val="0"/>
        <w:spacing w:before="0" w:beforeAutospacing="0" w:after="0" w:afterAutospacing="0"/>
        <w:jc w:val="center"/>
        <w:outlineLvl w:val="9"/>
        <w:rPr>
          <w:rFonts w:ascii="Times New Roman" w:hAnsi="Times New Roman" w:eastAsia="微软雅黑"/>
          <w:snapToGrid w:val="0"/>
          <w:color w:val="000000" w:themeColor="text1"/>
          <w:sz w:val="38"/>
          <w:szCs w:val="38"/>
          <w:highlight w:val="none"/>
          <w14:textFill>
            <w14:solidFill>
              <w14:schemeClr w14:val="tx1"/>
            </w14:solidFill>
          </w14:textFill>
        </w:rPr>
      </w:pPr>
      <w:bookmarkStart w:id="44" w:name="_Toc26360"/>
      <w:bookmarkStart w:id="45" w:name="_Toc29081"/>
      <w:r>
        <w:rPr>
          <w:rFonts w:ascii="Times New Roman" w:hAnsi="Times New Roman" w:eastAsia="微软雅黑"/>
          <w:snapToGrid w:val="0"/>
          <w:color w:val="000000" w:themeColor="text1"/>
          <w:sz w:val="38"/>
          <w:szCs w:val="38"/>
          <w:highlight w:val="none"/>
          <w14:textFill>
            <w14:solidFill>
              <w14:schemeClr w14:val="tx1"/>
            </w14:solidFill>
          </w14:textFill>
        </w:rPr>
        <w:t>建设项目污染物排放量汇总表</w:t>
      </w:r>
      <w:bookmarkEnd w:id="44"/>
      <w:bookmarkEnd w:id="45"/>
    </w:p>
    <w:p>
      <w:pPr>
        <w:pStyle w:val="31"/>
        <w:adjustRightInd w:val="0"/>
        <w:snapToGrid w:val="0"/>
        <w:spacing w:before="0" w:beforeAutospacing="0" w:after="0" w:afterAutospacing="0"/>
        <w:jc w:val="right"/>
        <w:outlineLvl w:val="9"/>
        <w:rPr>
          <w:rFonts w:ascii="Times New Roman" w:hAnsi="Times New Roman" w:eastAsia="微软雅黑"/>
          <w:snapToGrid w:val="0"/>
          <w:color w:val="000000" w:themeColor="text1"/>
          <w:sz w:val="21"/>
          <w:szCs w:val="21"/>
          <w14:textFill>
            <w14:solidFill>
              <w14:schemeClr w14:val="tx1"/>
            </w14:solidFill>
          </w14:textFill>
        </w:rPr>
      </w:pPr>
      <w:bookmarkStart w:id="46" w:name="_Toc14324"/>
      <w:r>
        <w:rPr>
          <w:rFonts w:hint="eastAsia" w:ascii="Times New Roman" w:hAnsi="Times New Roman" w:eastAsia="微软雅黑"/>
          <w:snapToGrid w:val="0"/>
          <w:color w:val="000000" w:themeColor="text1"/>
          <w:sz w:val="21"/>
          <w:szCs w:val="21"/>
          <w14:textFill>
            <w14:solidFill>
              <w14:schemeClr w14:val="tx1"/>
            </w14:solidFill>
          </w14:textFill>
        </w:rPr>
        <w:t>单位：t/a</w:t>
      </w:r>
      <w:bookmarkEnd w:id="46"/>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127"/>
        <w:gridCol w:w="1559"/>
        <w:gridCol w:w="1134"/>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blHeader/>
        </w:trPr>
        <w:tc>
          <w:tcPr>
            <w:tcW w:w="1162" w:type="dxa"/>
            <w:tcBorders>
              <w:tl2br w:val="single" w:color="auto" w:sz="4" w:space="0"/>
            </w:tcBorders>
            <w:tcMar>
              <w:left w:w="28" w:type="dxa"/>
              <w:right w:w="28" w:type="dxa"/>
            </w:tcMar>
            <w:vAlign w:val="center"/>
          </w:tcPr>
          <w:p>
            <w:pPr>
              <w:pStyle w:val="69"/>
              <w:spacing w:beforeLines="0" w:afterLines="0" w:line="240" w:lineRule="auto"/>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pPr>
              <w:pStyle w:val="69"/>
              <w:spacing w:beforeLines="0" w:afterLines="0" w:line="240" w:lineRule="auto"/>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2127" w:type="dxa"/>
            <w:tcMar>
              <w:left w:w="28" w:type="dxa"/>
              <w:right w:w="28" w:type="dxa"/>
            </w:tcMar>
            <w:vAlign w:val="center"/>
          </w:tcPr>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559" w:type="dxa"/>
            <w:tcMar>
              <w:left w:w="28" w:type="dxa"/>
              <w:right w:w="28" w:type="dxa"/>
            </w:tcMar>
            <w:vAlign w:val="center"/>
          </w:tcPr>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134" w:type="dxa"/>
            <w:tcMar>
              <w:left w:w="28" w:type="dxa"/>
              <w:right w:w="28" w:type="dxa"/>
            </w:tcMar>
            <w:vAlign w:val="center"/>
          </w:tcPr>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01" w:type="dxa"/>
            <w:tcMar>
              <w:left w:w="28" w:type="dxa"/>
              <w:right w:w="28" w:type="dxa"/>
            </w:tcMar>
            <w:vAlign w:val="center"/>
          </w:tcPr>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w:t>
            </w:r>
          </w:p>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59" w:type="dxa"/>
            <w:tcMar>
              <w:left w:w="28" w:type="dxa"/>
              <w:right w:w="28" w:type="dxa"/>
            </w:tcMar>
            <w:vAlign w:val="center"/>
          </w:tcPr>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w:t>
            </w:r>
          </w:p>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61" w:type="dxa"/>
            <w:tcMar>
              <w:left w:w="28" w:type="dxa"/>
              <w:right w:w="28" w:type="dxa"/>
            </w:tcMar>
            <w:vAlign w:val="center"/>
          </w:tcPr>
          <w:p>
            <w:pPr>
              <w:pStyle w:val="69"/>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pPr>
              <w:pStyle w:val="69"/>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959" w:type="dxa"/>
            <w:tcMar>
              <w:left w:w="28" w:type="dxa"/>
              <w:right w:w="28" w:type="dxa"/>
            </w:tcMar>
            <w:vAlign w:val="center"/>
          </w:tcPr>
          <w:p>
            <w:pPr>
              <w:pStyle w:val="69"/>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pPr>
              <w:pStyle w:val="69"/>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826" w:type="dxa"/>
            <w:tcMar>
              <w:left w:w="28" w:type="dxa"/>
              <w:right w:w="28" w:type="dxa"/>
            </w:tcMar>
            <w:vAlign w:val="center"/>
          </w:tcPr>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pPr>
              <w:pStyle w:val="69"/>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2127"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14:textFill>
                  <w14:solidFill>
                    <w14:schemeClr w14:val="tx1"/>
                  </w14:solidFill>
                </w14:textFill>
              </w:rPr>
              <w:t>颗粒物</w:t>
            </w:r>
          </w:p>
        </w:tc>
        <w:tc>
          <w:tcPr>
            <w:tcW w:w="1559"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134"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1.162</w:t>
            </w:r>
          </w:p>
        </w:tc>
        <w:tc>
          <w:tcPr>
            <w:tcW w:w="1761" w:type="dxa"/>
            <w:shd w:val="clear" w:color="auto" w:fill="auto"/>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9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1.162</w:t>
            </w:r>
          </w:p>
        </w:tc>
        <w:tc>
          <w:tcPr>
            <w:tcW w:w="82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127"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SO</w:t>
            </w:r>
            <w:r>
              <w:rPr>
                <w:rFonts w:ascii="Times New Roman"/>
                <w:snapToGrid w:val="0"/>
                <w:color w:val="000000" w:themeColor="text1"/>
                <w:kern w:val="21"/>
                <w:szCs w:val="21"/>
                <w:vertAlign w:val="subscript"/>
                <w14:textFill>
                  <w14:solidFill>
                    <w14:schemeClr w14:val="tx1"/>
                  </w14:solidFill>
                </w14:textFill>
              </w:rPr>
              <w:t>2</w:t>
            </w:r>
          </w:p>
        </w:tc>
        <w:tc>
          <w:tcPr>
            <w:tcW w:w="1559"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134"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2.391</w:t>
            </w:r>
          </w:p>
        </w:tc>
        <w:tc>
          <w:tcPr>
            <w:tcW w:w="1761" w:type="dxa"/>
            <w:shd w:val="clear" w:color="auto" w:fill="auto"/>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9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2.391</w:t>
            </w:r>
          </w:p>
        </w:tc>
        <w:tc>
          <w:tcPr>
            <w:tcW w:w="82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2.391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2127"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color w:val="000000" w:themeColor="text1"/>
                <w:szCs w:val="21"/>
                <w14:textFill>
                  <w14:solidFill>
                    <w14:schemeClr w14:val="tx1"/>
                  </w14:solidFill>
                </w14:textFill>
              </w:rPr>
              <w:t>NO</w:t>
            </w:r>
            <w:r>
              <w:rPr>
                <w:rFonts w:ascii="Times New Roman"/>
                <w:color w:val="000000" w:themeColor="text1"/>
                <w:szCs w:val="21"/>
                <w:vertAlign w:val="subscript"/>
                <w14:textFill>
                  <w14:solidFill>
                    <w14:schemeClr w14:val="tx1"/>
                  </w14:solidFill>
                </w14:textFill>
              </w:rPr>
              <w:t>X</w:t>
            </w:r>
          </w:p>
        </w:tc>
        <w:tc>
          <w:tcPr>
            <w:tcW w:w="1559"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134"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3.362</w:t>
            </w:r>
          </w:p>
        </w:tc>
        <w:tc>
          <w:tcPr>
            <w:tcW w:w="1761" w:type="dxa"/>
            <w:shd w:val="clear" w:color="auto" w:fill="auto"/>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959"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3.362</w:t>
            </w:r>
          </w:p>
        </w:tc>
        <w:tc>
          <w:tcPr>
            <w:tcW w:w="82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3.362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69"/>
              <w:spacing w:before="24" w:after="24"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2127"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color w:val="000000" w:themeColor="text1"/>
                <w:szCs w:val="21"/>
                <w14:textFill>
                  <w14:solidFill>
                    <w14:schemeClr w14:val="tx1"/>
                  </w14:solidFill>
                </w14:textFill>
              </w:rPr>
              <w:t>灰渣</w:t>
            </w:r>
          </w:p>
        </w:tc>
        <w:tc>
          <w:tcPr>
            <w:tcW w:w="1559" w:type="dxa"/>
            <w:vAlign w:val="center"/>
          </w:tcPr>
          <w:p>
            <w:pPr>
              <w:pStyle w:val="69"/>
              <w:spacing w:beforeLines="0" w:afterLines="0" w:line="240" w:lineRule="auto"/>
              <w:rPr>
                <w:color w:val="000000" w:themeColor="text1"/>
                <w14:textFill>
                  <w14:solidFill>
                    <w14:schemeClr w14:val="tx1"/>
                  </w14:solidFill>
                </w14:textFill>
              </w:rPr>
            </w:pPr>
          </w:p>
        </w:tc>
        <w:tc>
          <w:tcPr>
            <w:tcW w:w="1134"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pPr>
              <w:pStyle w:val="69"/>
              <w:spacing w:beforeLines="0" w:afterLines="0" w:line="240" w:lineRule="auto"/>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776.56</w:t>
            </w:r>
          </w:p>
        </w:tc>
        <w:tc>
          <w:tcPr>
            <w:tcW w:w="1761"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959" w:type="dxa"/>
            <w:shd w:val="clear" w:color="auto" w:fill="auto"/>
            <w:vAlign w:val="center"/>
          </w:tcPr>
          <w:p>
            <w:pPr>
              <w:pStyle w:val="69"/>
              <w:spacing w:beforeLines="0" w:afterLines="0" w:line="240" w:lineRule="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776.56</w:t>
            </w:r>
          </w:p>
        </w:tc>
        <w:tc>
          <w:tcPr>
            <w:tcW w:w="826" w:type="dxa"/>
            <w:shd w:val="clear" w:color="auto" w:fill="auto"/>
            <w:vAlign w:val="center"/>
          </w:tcPr>
          <w:p>
            <w:pPr>
              <w:pStyle w:val="69"/>
              <w:spacing w:beforeLines="0" w:afterLines="0" w:line="240" w:lineRule="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776.56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vAlign w:val="center"/>
          </w:tcPr>
          <w:p>
            <w:pPr>
              <w:pStyle w:val="69"/>
              <w:spacing w:before="24" w:after="24" w:line="240" w:lineRule="auto"/>
              <w:rPr>
                <w:rFonts w:ascii="Times New Roman"/>
                <w:snapToGrid w:val="0"/>
                <w:color w:val="000000" w:themeColor="text1"/>
                <w:kern w:val="21"/>
                <w:szCs w:val="21"/>
                <w14:textFill>
                  <w14:solidFill>
                    <w14:schemeClr w14:val="tx1"/>
                  </w14:solidFill>
                </w14:textFill>
              </w:rPr>
            </w:pPr>
          </w:p>
        </w:tc>
        <w:tc>
          <w:tcPr>
            <w:tcW w:w="2127" w:type="dxa"/>
            <w:vAlign w:val="center"/>
          </w:tcPr>
          <w:p>
            <w:pPr>
              <w:pStyle w:val="69"/>
              <w:spacing w:beforeLines="0" w:afterLines="0" w:line="240" w:lineRule="auto"/>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废布袋</w:t>
            </w:r>
          </w:p>
        </w:tc>
        <w:tc>
          <w:tcPr>
            <w:tcW w:w="1559"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134"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701" w:type="dxa"/>
            <w:vAlign w:val="center"/>
          </w:tcPr>
          <w:p>
            <w:pPr>
              <w:pStyle w:val="69"/>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55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1761" w:type="dxa"/>
            <w:vAlign w:val="center"/>
          </w:tcPr>
          <w:p>
            <w:pPr>
              <w:jc w:val="center"/>
              <w:rPr>
                <w:snapToGrid w:val="0"/>
                <w:color w:val="000000" w:themeColor="text1"/>
                <w:kern w:val="21"/>
                <w:szCs w:val="21"/>
                <w14:textFill>
                  <w14:solidFill>
                    <w14:schemeClr w14:val="tx1"/>
                  </w14:solidFill>
                </w14:textFill>
              </w:rPr>
            </w:pPr>
          </w:p>
        </w:tc>
        <w:tc>
          <w:tcPr>
            <w:tcW w:w="1959"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826" w:type="dxa"/>
            <w:shd w:val="clear" w:color="auto" w:fill="auto"/>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r>
    </w:tbl>
    <w:p>
      <w:pPr>
        <w:pStyle w:val="69"/>
        <w:spacing w:before="192" w:beforeLines="80" w:after="24"/>
        <w:jc w:val="left"/>
        <w:rPr>
          <w:rFonts w:ascii="Times New Roman"/>
          <w:snapToGrid w:val="0"/>
          <w:color w:val="000000" w:themeColor="text1"/>
          <w:spacing w:val="-6"/>
          <w:kern w:val="21"/>
          <w:szCs w:val="21"/>
          <w14:textFill>
            <w14:solidFill>
              <w14:schemeClr w14:val="tx1"/>
            </w14:solidFill>
          </w14:textFill>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p>
      <w:pPr>
        <w:pStyle w:val="31"/>
        <w:adjustRightInd w:val="0"/>
        <w:snapToGrid w:val="0"/>
        <w:spacing w:before="0" w:beforeAutospacing="0" w:after="0" w:afterAutospacing="0"/>
        <w:jc w:val="center"/>
        <w:rPr>
          <w:rFonts w:ascii="Times New Roman" w:hAnsi="Times New Roman"/>
          <w:color w:val="000000" w:themeColor="text1"/>
          <w14:textFill>
            <w14:solidFill>
              <w14:schemeClr w14:val="tx1"/>
            </w14:solidFill>
          </w14:textFill>
        </w:rPr>
      </w:pPr>
    </w:p>
    <w:p>
      <w:pPr>
        <w:pStyle w:val="31"/>
        <w:adjustRightInd w:val="0"/>
        <w:snapToGrid w:val="0"/>
        <w:spacing w:before="0" w:beforeAutospacing="0" w:after="0" w:afterAutospacing="0"/>
        <w:jc w:val="center"/>
        <w:rPr>
          <w:rFonts w:ascii="Times New Roman" w:hAnsi="Times New Roman"/>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8601075</wp:posOffset>
            </wp:positionH>
            <wp:positionV relativeFrom="paragraph">
              <wp:posOffset>16510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35"/>
                    <a:stretch>
                      <a:fillRect/>
                    </a:stretch>
                  </pic:blipFill>
                  <pic:spPr>
                    <a:xfrm>
                      <a:off x="0" y="0"/>
                      <a:ext cx="855345" cy="829945"/>
                    </a:xfrm>
                    <a:prstGeom prst="rect">
                      <a:avLst/>
                    </a:prstGeom>
                    <a:noFill/>
                    <a:ln>
                      <a:noFill/>
                    </a:ln>
                  </pic:spPr>
                </pic:pic>
              </a:graphicData>
            </a:graphic>
          </wp:anchor>
        </w:drawing>
      </w: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4977765</wp:posOffset>
                </wp:positionH>
                <wp:positionV relativeFrom="paragraph">
                  <wp:posOffset>2355850</wp:posOffset>
                </wp:positionV>
                <wp:extent cx="995045" cy="285750"/>
                <wp:effectExtent l="165100" t="5080" r="20955" b="147320"/>
                <wp:wrapNone/>
                <wp:docPr id="13"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62884"/>
                            <a:gd name="adj2" fmla="val 91111"/>
                          </a:avLst>
                        </a:prstGeom>
                        <a:solidFill>
                          <a:schemeClr val="bg1"/>
                        </a:solidFill>
                        <a:ln w="6350" cap="flat" cmpd="sng">
                          <a:solidFill>
                            <a:srgbClr val="FF0000"/>
                          </a:solidFill>
                          <a:prstDash val="solid"/>
                          <a:miter/>
                          <a:headEnd type="none" w="med" len="med"/>
                          <a:tailEnd type="none" w="med" len="med"/>
                        </a:ln>
                      </wps:spPr>
                      <wps:txbx>
                        <w:txbxContent>
                          <w:p>
                            <w:pPr>
                              <w:rPr>
                                <w:color w:val="FF0000"/>
                              </w:rPr>
                            </w:pPr>
                            <w:r>
                              <w:rPr>
                                <w:rFonts w:hint="eastAsia"/>
                                <w:color w:val="FF0000"/>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391.95pt;margin-top:185.5pt;height:22.5pt;width:78.35pt;z-index:251666432;mso-width-relative:page;mso-height-relative:page;" fillcolor="#FFFFFF [3212]" filled="t" stroked="t" coordsize="21600,21600" o:gfxdata="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&#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oWW9I2gAAAAsBAAAPAAAAAAAAAAEAIAAAACIAAABk&#10;cnMvZG93bnJldi54bWxQSwECFAAUAAAACACHTuJAQtjzkz0CAAB0BAAADgAAAAAAAAABACAAAAAp&#10;AQAAZHJzL2Uyb0RvYy54bWxQSwUGAAAAAAYABgBZAQAA2AUAAAAA&#10;" adj="-2783,30480">
                <v:fill on="t" focussize="0,0"/>
                <v:stroke weight="0.5pt" color="#FF0000" joinstyle="miter"/>
                <v:imagedata o:title=""/>
                <o:lock v:ext="edit" aspectratio="f"/>
                <v:textbox>
                  <w:txbxContent>
                    <w:p>
                      <w:pPr>
                        <w:rPr>
                          <w:color w:val="FF0000"/>
                        </w:rPr>
                      </w:pPr>
                      <w:r>
                        <w:rPr>
                          <w:rFonts w:hint="eastAsia"/>
                          <w:color w:val="FF0000"/>
                        </w:rPr>
                        <w:t>项目所在地</w:t>
                      </w:r>
                    </w:p>
                  </w:txbxContent>
                </v:textbox>
              </v:shape>
            </w:pict>
          </mc:Fallback>
        </mc:AlternateContent>
      </w:r>
      <w:r>
        <w:drawing>
          <wp:inline distT="0" distB="0" distL="114300" distR="114300">
            <wp:extent cx="9171305" cy="5573395"/>
            <wp:effectExtent l="0" t="0" r="10795" b="190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6"/>
                    <a:stretch>
                      <a:fillRect/>
                    </a:stretch>
                  </pic:blipFill>
                  <pic:spPr>
                    <a:xfrm>
                      <a:off x="0" y="0"/>
                      <a:ext cx="9171305" cy="5573395"/>
                    </a:xfrm>
                    <a:prstGeom prst="rect">
                      <a:avLst/>
                    </a:prstGeom>
                    <a:noFill/>
                    <a:ln>
                      <a:noFill/>
                    </a:ln>
                  </pic:spPr>
                </pic:pic>
              </a:graphicData>
            </a:graphic>
          </wp:inline>
        </w:drawing>
      </w:r>
    </w:p>
    <w:p>
      <w:pPr>
        <w:pStyle w:val="31"/>
        <w:adjustRightInd w:val="0"/>
        <w:snapToGrid w:val="0"/>
        <w:spacing w:before="0" w:beforeAutospacing="0" w:after="0" w:afterAutospacing="0"/>
        <w:ind w:firstLine="640" w:firstLineChars="200"/>
        <w:jc w:val="center"/>
        <w:outlineLvl w:val="0"/>
        <w:rPr>
          <w:rFonts w:ascii="Times New Roman" w:hAnsi="Times New Roman"/>
          <w:color w:val="000000" w:themeColor="text1"/>
          <w14:textFill>
            <w14:solidFill>
              <w14:schemeClr w14:val="tx1"/>
            </w14:solidFill>
          </w14:textFill>
        </w:rPr>
      </w:pPr>
      <w:bookmarkStart w:id="47" w:name="_Toc9845"/>
      <w:bookmarkStart w:id="48" w:name="_Toc23128"/>
      <w:bookmarkStart w:id="49" w:name="_Toc28411"/>
      <w:r>
        <w:rPr>
          <w:rFonts w:ascii="Times New Roman" w:hAnsi="Times New Roman" w:eastAsia="黑体"/>
          <w:snapToGrid w:val="0"/>
          <w:color w:val="000000" w:themeColor="text1"/>
          <w:sz w:val="32"/>
          <w:szCs w:val="32"/>
          <w14:textFill>
            <w14:solidFill>
              <w14:schemeClr w14:val="tx1"/>
            </w14:solidFill>
          </w14:textFill>
        </w:rPr>
        <w:t>附图1 本项目地理位置图</w:t>
      </w:r>
      <w:bookmarkEnd w:id="47"/>
      <w:bookmarkEnd w:id="48"/>
      <w:bookmarkEnd w:id="49"/>
    </w:p>
    <w:p>
      <w:pPr>
        <w:pStyle w:val="31"/>
        <w:adjustRightInd w:val="0"/>
        <w:snapToGrid w:val="0"/>
        <w:spacing w:before="0" w:beforeAutospacing="0" w:after="0" w:afterAutospacing="0"/>
        <w:jc w:val="center"/>
        <w:rPr>
          <w:rFonts w:ascii="Times New Roman" w:hAnsi="Times New Roman"/>
          <w:color w:val="000000" w:themeColor="text1"/>
          <w14:textFill>
            <w14:solidFill>
              <w14:schemeClr w14:val="tx1"/>
            </w14:solidFill>
          </w14:textFill>
        </w:rPr>
        <w:sectPr>
          <w:footerReference r:id="rId7"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adjustRightInd w:val="0"/>
        <w:snapToGrid w:val="0"/>
        <w:spacing w:before="0" w:beforeAutospacing="0" w:after="0" w:afterAutospacing="0"/>
        <w:jc w:val="center"/>
        <w:rPr>
          <w:rFonts w:ascii="Times New Roman" w:hAnsi="Times New Roman"/>
          <w:snapToGrid w:val="0"/>
          <w:color w:val="000000" w:themeColor="text1"/>
          <w:sz w:val="32"/>
          <w:szCs w:val="32"/>
          <w14:textFill>
            <w14:solidFill>
              <w14:schemeClr w14:val="tx1"/>
            </w14:solidFill>
          </w14:textFill>
        </w:rPr>
      </w:pPr>
      <w:bookmarkStart w:id="50" w:name="_Toc23849"/>
    </w:p>
    <w:p>
      <w:pPr>
        <w:pStyle w:val="31"/>
        <w:adjustRightInd w:val="0"/>
        <w:snapToGrid w:val="0"/>
        <w:spacing w:before="0" w:beforeAutospacing="0" w:after="0" w:afterAutospacing="0"/>
        <w:jc w:val="center"/>
        <w:rPr>
          <w:rFonts w:hint="eastAsia"/>
          <w:color w:val="000000" w:themeColor="text1"/>
          <w14:textFill>
            <w14:solidFill>
              <w14:schemeClr w14:val="tx1"/>
            </w14:solidFill>
          </w14:textFill>
        </w:rPr>
      </w:pPr>
      <w:bookmarkStart w:id="51" w:name="_Toc5220"/>
      <w:r>
        <w:rPr>
          <w:color w:val="000000" w:themeColor="text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1445895</wp:posOffset>
                </wp:positionH>
                <wp:positionV relativeFrom="paragraph">
                  <wp:posOffset>5287010</wp:posOffset>
                </wp:positionV>
                <wp:extent cx="612775" cy="255270"/>
                <wp:effectExtent l="0" t="0" r="0" b="0"/>
                <wp:wrapNone/>
                <wp:docPr id="18" name="文本框 18"/>
                <wp:cNvGraphicFramePr/>
                <a:graphic xmlns:a="http://schemas.openxmlformats.org/drawingml/2006/main">
                  <a:graphicData uri="http://schemas.microsoft.com/office/word/2010/wordprocessingShape">
                    <wps:wsp>
                      <wps:cNvSpPr txBox="1"/>
                      <wps:spPr>
                        <a:xfrm>
                          <a:off x="3751580" y="4813300"/>
                          <a:ext cx="61277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85pt;margin-top:416.3pt;height:20.1pt;width:48.25pt;z-index:251672576;mso-width-relative:page;mso-height-relative:page;" filled="f" stroked="f" coordsize="21600,21600" o:gfxdata="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bWah9sAAAALAQAADwAAAAAAAAABACAAAAAiAAAAZHJzL2Rvd25yZXYueG1sUEsB&#10;AhQAFAAAAAgAh07iQEaRVoQrAgAAJQQAAA4AAAAAAAAAAQAgAAAAKgEAAGRycy9lMm9Eb2MueG1s&#10;UEsFBgAAAAAGAAYAWQEAAMcFAAAAAA==&#10;">
                <v:fill on="f" focussize="0,0"/>
                <v:stroke on="f" weight="0.5pt"/>
                <v:imagedata o:title=""/>
                <o:lock v:ext="edit" aspectratio="f"/>
                <v:textbox>
                  <w:txbxContent>
                    <w:p>
                      <w:pPr>
                        <w:rPr>
                          <w:color w:val="FF0000"/>
                        </w:rPr>
                      </w:pPr>
                      <w:r>
                        <w:rPr>
                          <w:rFonts w:hint="eastAsia"/>
                          <w:color w:val="FF0000"/>
                        </w:rPr>
                        <w:t>DA001</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1440180</wp:posOffset>
                </wp:positionH>
                <wp:positionV relativeFrom="paragraph">
                  <wp:posOffset>5679440</wp:posOffset>
                </wp:positionV>
                <wp:extent cx="118745" cy="110490"/>
                <wp:effectExtent l="12700" t="12700" r="20955" b="29210"/>
                <wp:wrapNone/>
                <wp:docPr id="17" name="同心圆 17"/>
                <wp:cNvGraphicFramePr/>
                <a:graphic xmlns:a="http://schemas.openxmlformats.org/drawingml/2006/main">
                  <a:graphicData uri="http://schemas.microsoft.com/office/word/2010/wordprocessingShape">
                    <wps:wsp>
                      <wps:cNvSpPr/>
                      <wps:spPr>
                        <a:xfrm>
                          <a:off x="4083685" y="4481830"/>
                          <a:ext cx="118745" cy="110490"/>
                        </a:xfrm>
                        <a:prstGeom prst="donut">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113.4pt;margin-top:447.2pt;height:8.7pt;width:9.35pt;z-index:251671552;v-text-anchor:middle;mso-width-relative:page;mso-height-relative:page;" fillcolor="#FF0000" filled="t" stroked="t" coordsize="21600,21600" o:gfxdata="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u&#10;dOnH3QAAAAsBAAAPAAAAAAAAAAEAIAAAACIAAABkcnMvZG93bnJldi54bWxQSwECFAAUAAAACACH&#10;TuJAWVKsclgCAACgBAAADgAAAAAAAAABACAAAAAsAQAAZHJzL2Uyb0RvYy54bWxQSwUGAAAAAAYA&#10;BgBZAQAA9gUAAAAA&#10;" adj="5024">
                <v:fill on="t" focussize="0,0"/>
                <v:stroke weight="2pt" color="#FF0000 [2404]" joinstyle="round"/>
                <v:imagedata o:title=""/>
                <o:lock v:ext="edit" aspectratio="f"/>
              </v:shape>
            </w:pict>
          </mc:Fallback>
        </mc:AlternateContent>
      </w: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5111115</wp:posOffset>
            </wp:positionH>
            <wp:positionV relativeFrom="paragraph">
              <wp:posOffset>26035</wp:posOffset>
            </wp:positionV>
            <wp:extent cx="1129030" cy="1096010"/>
            <wp:effectExtent l="0" t="0" r="13970" b="8890"/>
            <wp:wrapNone/>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35"/>
                    <a:stretch>
                      <a:fillRect/>
                    </a:stretch>
                  </pic:blipFill>
                  <pic:spPr>
                    <a:xfrm>
                      <a:off x="0" y="0"/>
                      <a:ext cx="1129030" cy="1096010"/>
                    </a:xfrm>
                    <a:prstGeom prst="rect">
                      <a:avLst/>
                    </a:prstGeom>
                    <a:noFill/>
                    <a:ln>
                      <a:noFill/>
                    </a:ln>
                  </pic:spPr>
                </pic:pic>
              </a:graphicData>
            </a:graphic>
          </wp:anchor>
        </w:drawing>
      </w:r>
      <w:r>
        <w:drawing>
          <wp:inline distT="0" distB="0" distL="114300" distR="114300">
            <wp:extent cx="6186170" cy="6616700"/>
            <wp:effectExtent l="0" t="0" r="11430" b="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37"/>
                    <a:stretch>
                      <a:fillRect/>
                    </a:stretch>
                  </pic:blipFill>
                  <pic:spPr>
                    <a:xfrm>
                      <a:off x="0" y="0"/>
                      <a:ext cx="6186170" cy="6616700"/>
                    </a:xfrm>
                    <a:prstGeom prst="rect">
                      <a:avLst/>
                    </a:prstGeom>
                    <a:noFill/>
                    <a:ln>
                      <a:noFill/>
                    </a:ln>
                  </pic:spPr>
                </pic:pic>
              </a:graphicData>
            </a:graphic>
          </wp:inline>
        </w:drawing>
      </w:r>
    </w:p>
    <w:p>
      <w:pPr>
        <w:pStyle w:val="31"/>
        <w:adjustRightInd w:val="0"/>
        <w:snapToGrid w:val="0"/>
        <w:spacing w:before="0" w:beforeAutospacing="0" w:after="0" w:afterAutospacing="0"/>
        <w:jc w:val="center"/>
        <w:outlineLvl w:val="0"/>
        <w:rPr>
          <w:rFonts w:ascii="Times New Roman" w:hAnsi="Times New Roman" w:eastAsia="黑体"/>
          <w:snapToGrid w:val="0"/>
          <w:color w:val="000000" w:themeColor="text1"/>
          <w:sz w:val="32"/>
          <w:szCs w:val="32"/>
          <w:highlight w:val="none"/>
          <w14:textFill>
            <w14:solidFill>
              <w14:schemeClr w14:val="tx1"/>
            </w14:solidFill>
          </w14:textFill>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2" w:name="_Toc8723"/>
      <w:r>
        <w:rPr>
          <w:rFonts w:ascii="Times New Roman" w:hAnsi="Times New Roman" w:eastAsia="黑体"/>
          <w:snapToGrid w:val="0"/>
          <w:color w:val="000000" w:themeColor="text1"/>
          <w:sz w:val="32"/>
          <w:szCs w:val="32"/>
          <w:highlight w:val="none"/>
          <w14:textFill>
            <w14:solidFill>
              <w14:schemeClr w14:val="tx1"/>
            </w14:solidFill>
          </w14:textFill>
        </w:rPr>
        <w:t>附图2 厂区总平面布置图</w:t>
      </w:r>
      <w:bookmarkEnd w:id="50"/>
      <w:bookmarkEnd w:id="51"/>
      <w:bookmarkEnd w:id="52"/>
    </w:p>
    <w:p>
      <w:pPr>
        <w:pStyle w:val="4"/>
        <w:rPr>
          <w:rFonts w:hint="default" w:ascii="Times New Roman" w:hAnsi="Times New Roman" w:cs="Times New Roman"/>
          <w:color w:val="000000" w:themeColor="text1"/>
          <w:lang w:val="en-US" w:eastAsia="zh-CN"/>
          <w14:textFill>
            <w14:solidFill>
              <w14:schemeClr w14:val="tx1"/>
            </w14:solidFill>
          </w14:textFill>
        </w:rPr>
      </w:pPr>
      <w:bookmarkStart w:id="53" w:name="_Toc22226"/>
      <w:r>
        <w:rPr>
          <w:rFonts w:hint="eastAsia" w:ascii="Times New Roman" w:hAnsi="Times New Roman" w:cs="Times New Roman"/>
          <w:color w:val="000000" w:themeColor="text1"/>
          <w:lang w:val="en-US" w:eastAsia="zh-CN"/>
          <w14:textFill>
            <w14:solidFill>
              <w14:schemeClr w14:val="tx1"/>
            </w14:solidFill>
          </w14:textFill>
        </w:rPr>
        <w:t xml:space="preserve">附件1 </w:t>
      </w:r>
      <w:r>
        <w:rPr>
          <w:rFonts w:hint="eastAsia" w:cs="Times New Roman"/>
          <w:color w:val="000000" w:themeColor="text1"/>
          <w:lang w:val="en-US" w:eastAsia="zh-CN"/>
          <w14:textFill>
            <w14:solidFill>
              <w14:schemeClr w14:val="tx1"/>
            </w14:solidFill>
          </w14:textFill>
        </w:rPr>
        <w:t>组织机构代码</w:t>
      </w:r>
      <w:bookmarkEnd w:id="53"/>
    </w:p>
    <w:p>
      <w:pPr>
        <w:jc w:val="center"/>
        <w:rPr>
          <w:rFonts w:hint="default" w:ascii="Times New Roman" w:hAnsi="Times New Roman" w:cs="Times New Roman"/>
          <w:color w:val="000000" w:themeColor="text1"/>
          <w:lang w:val="en-US" w:eastAsia="zh-CN"/>
          <w14:textFill>
            <w14:solidFill>
              <w14:schemeClr w14:val="tx1"/>
            </w14:solidFill>
          </w14:textFill>
        </w:rPr>
        <w:sectPr>
          <w:pgSz w:w="16838" w:h="11906"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
        <w:rPr>
          <w:color w:val="000000" w:themeColor="text1"/>
          <w14:textFill>
            <w14:solidFill>
              <w14:schemeClr w14:val="tx1"/>
            </w14:solidFill>
          </w14:textFill>
        </w:rPr>
      </w:pPr>
      <w:bookmarkStart w:id="54" w:name="_Toc23724"/>
      <w:bookmarkStart w:id="55" w:name="_Toc19569"/>
      <w:bookmarkStart w:id="56" w:name="_Toc31334"/>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监测报告</w:t>
      </w:r>
      <w:bookmarkEnd w:id="54"/>
      <w:bookmarkEnd w:id="55"/>
      <w:bookmarkEnd w:id="56"/>
    </w:p>
    <w:p>
      <w:pPr>
        <w:rPr>
          <w:color w:val="000000" w:themeColor="text1"/>
          <w14:textFill>
            <w14:solidFill>
              <w14:schemeClr w14:val="tx1"/>
            </w14:solidFill>
          </w14:textFill>
        </w:rPr>
      </w:pPr>
    </w:p>
    <w:p>
      <w:pPr>
        <w:pStyle w:val="2"/>
        <w:rPr>
          <w:rFonts w:ascii="Times New Roman" w:hAnsi="Times New Roman" w:cs="Times New Roman"/>
          <w:color w:val="000000" w:themeColor="text1"/>
          <w14:textFill>
            <w14:solidFill>
              <w14:schemeClr w14:val="tx1"/>
            </w14:solidFill>
          </w14:textFill>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266690" cy="7461250"/>
            <wp:effectExtent l="0" t="0" r="3810" b="635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8"/>
                    <a:stretch>
                      <a:fillRect/>
                    </a:stretch>
                  </pic:blipFill>
                  <pic:spPr>
                    <a:xfrm>
                      <a:off x="0" y="0"/>
                      <a:ext cx="5266690" cy="7461250"/>
                    </a:xfrm>
                    <a:prstGeom prst="rect">
                      <a:avLst/>
                    </a:prstGeom>
                    <a:noFill/>
                    <a:ln>
                      <a:noFill/>
                    </a:ln>
                  </pic:spPr>
                </pic:pic>
              </a:graphicData>
            </a:graphic>
          </wp:inline>
        </w:drawing>
      </w:r>
      <w:r>
        <w:drawing>
          <wp:inline distT="0" distB="0" distL="114300" distR="114300">
            <wp:extent cx="5267325" cy="7592060"/>
            <wp:effectExtent l="0" t="0" r="3175" b="254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9"/>
                    <a:stretch>
                      <a:fillRect/>
                    </a:stretch>
                  </pic:blipFill>
                  <pic:spPr>
                    <a:xfrm>
                      <a:off x="0" y="0"/>
                      <a:ext cx="5267325" cy="7592060"/>
                    </a:xfrm>
                    <a:prstGeom prst="rect">
                      <a:avLst/>
                    </a:prstGeom>
                    <a:noFill/>
                    <a:ln>
                      <a:noFill/>
                    </a:ln>
                  </pic:spPr>
                </pic:pic>
              </a:graphicData>
            </a:graphic>
          </wp:inline>
        </w:drawing>
      </w:r>
    </w:p>
    <w:p>
      <w:pPr>
        <w:pStyle w:val="4"/>
        <w:rPr>
          <w:color w:val="000000" w:themeColor="text1"/>
          <w14:textFill>
            <w14:solidFill>
              <w14:schemeClr w14:val="tx1"/>
            </w14:solidFill>
          </w14:textFill>
        </w:rPr>
      </w:pPr>
      <w:bookmarkStart w:id="57" w:name="_Toc30256"/>
      <w:bookmarkStart w:id="58" w:name="_Toc31022"/>
      <w:bookmarkStart w:id="59" w:name="_Toc30457"/>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燃料分析报告</w:t>
      </w:r>
      <w:bookmarkEnd w:id="57"/>
    </w:p>
    <w:p>
      <w:pPr>
        <w:rPr>
          <w:color w:val="000000" w:themeColor="text1"/>
          <w14:textFill>
            <w14:solidFill>
              <w14:schemeClr w14:val="tx1"/>
            </w14:solidFill>
          </w14:textFill>
        </w:rPr>
      </w:pPr>
    </w:p>
    <w:p>
      <w:pPr>
        <w:pStyle w:val="4"/>
        <w:rPr>
          <w:color w:val="000000" w:themeColor="text1"/>
          <w:sz w:val="28"/>
          <w:szCs w:val="22"/>
          <w14:textFill>
            <w14:solidFill>
              <w14:schemeClr w14:val="tx1"/>
            </w14:solidFill>
          </w14:textFill>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63" w:name="_GoBack"/>
      <w:bookmarkEnd w:id="63"/>
    </w:p>
    <w:p>
      <w:pPr>
        <w:pStyle w:val="4"/>
        <w:rPr>
          <w:color w:val="000000" w:themeColor="text1"/>
          <w14:textFill>
            <w14:solidFill>
              <w14:schemeClr w14:val="tx1"/>
            </w14:solidFill>
          </w14:textFill>
        </w:rPr>
      </w:pPr>
      <w:bookmarkStart w:id="60" w:name="_Toc25683"/>
      <w:r>
        <w:rPr>
          <w:color w:val="000000" w:themeColor="text1"/>
          <w14:textFill>
            <w14:solidFill>
              <w14:schemeClr w14:val="tx1"/>
            </w14:solidFill>
          </w14:textFill>
        </w:rPr>
        <w:t>附件</w:t>
      </w:r>
      <w:r>
        <w:rPr>
          <w:rFonts w:hint="eastAsia"/>
          <w:color w:val="000000" w:themeColor="text1"/>
          <w14:textFill>
            <w14:solidFill>
              <w14:schemeClr w14:val="tx1"/>
            </w14:solidFill>
          </w14:textFill>
        </w:rPr>
        <w:t>4生态环境分区管控报告</w:t>
      </w:r>
      <w:bookmarkEnd w:id="60"/>
    </w:p>
    <w:p>
      <w:pPr>
        <w:rPr>
          <w:color w:val="000000" w:themeColor="text1"/>
          <w14:textFill>
            <w14:solidFill>
              <w14:schemeClr w14:val="tx1"/>
            </w14:solidFill>
          </w14:textFill>
        </w:rPr>
      </w:pPr>
    </w:p>
    <w:p>
      <w:pPr>
        <w:pStyle w:val="4"/>
        <w:rPr>
          <w:color w:val="000000" w:themeColor="text1"/>
          <w14:textFill>
            <w14:solidFill>
              <w14:schemeClr w14:val="tx1"/>
            </w14:solidFill>
          </w14:textFill>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61" w:name="_Toc14161"/>
      <w:r>
        <w:drawing>
          <wp:inline distT="0" distB="0" distL="114300" distR="114300">
            <wp:extent cx="5268595" cy="3657600"/>
            <wp:effectExtent l="0" t="0" r="1905"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40"/>
                    <a:stretch>
                      <a:fillRect/>
                    </a:stretch>
                  </pic:blipFill>
                  <pic:spPr>
                    <a:xfrm>
                      <a:off x="0" y="0"/>
                      <a:ext cx="5268595" cy="3657600"/>
                    </a:xfrm>
                    <a:prstGeom prst="rect">
                      <a:avLst/>
                    </a:prstGeom>
                    <a:noFill/>
                    <a:ln>
                      <a:noFill/>
                    </a:ln>
                  </pic:spPr>
                </pic:pic>
              </a:graphicData>
            </a:graphic>
          </wp:inline>
        </w:drawing>
      </w:r>
      <w:r>
        <w:drawing>
          <wp:inline distT="0" distB="0" distL="114300" distR="114300">
            <wp:extent cx="5272405" cy="3646170"/>
            <wp:effectExtent l="0" t="0" r="10795" b="1143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41"/>
                    <a:stretch>
                      <a:fillRect/>
                    </a:stretch>
                  </pic:blipFill>
                  <pic:spPr>
                    <a:xfrm>
                      <a:off x="0" y="0"/>
                      <a:ext cx="5272405" cy="3646170"/>
                    </a:xfrm>
                    <a:prstGeom prst="rect">
                      <a:avLst/>
                    </a:prstGeom>
                    <a:noFill/>
                    <a:ln>
                      <a:noFill/>
                    </a:ln>
                  </pic:spPr>
                </pic:pic>
              </a:graphicData>
            </a:graphic>
          </wp:inline>
        </w:drawing>
      </w:r>
      <w:r>
        <w:drawing>
          <wp:inline distT="0" distB="0" distL="114300" distR="114300">
            <wp:extent cx="5261610" cy="3525520"/>
            <wp:effectExtent l="0" t="0" r="8890" b="508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42"/>
                    <a:stretch>
                      <a:fillRect/>
                    </a:stretch>
                  </pic:blipFill>
                  <pic:spPr>
                    <a:xfrm>
                      <a:off x="0" y="0"/>
                      <a:ext cx="5261610" cy="3525520"/>
                    </a:xfrm>
                    <a:prstGeom prst="rect">
                      <a:avLst/>
                    </a:prstGeom>
                    <a:noFill/>
                    <a:ln>
                      <a:noFill/>
                    </a:ln>
                  </pic:spPr>
                </pic:pic>
              </a:graphicData>
            </a:graphic>
          </wp:inline>
        </w:drawing>
      </w:r>
      <w:r>
        <w:drawing>
          <wp:inline distT="0" distB="0" distL="114300" distR="114300">
            <wp:extent cx="5264785" cy="3517265"/>
            <wp:effectExtent l="0" t="0" r="5715" b="63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43"/>
                    <a:stretch>
                      <a:fillRect/>
                    </a:stretch>
                  </pic:blipFill>
                  <pic:spPr>
                    <a:xfrm>
                      <a:off x="0" y="0"/>
                      <a:ext cx="5264785" cy="3517265"/>
                    </a:xfrm>
                    <a:prstGeom prst="rect">
                      <a:avLst/>
                    </a:prstGeom>
                    <a:noFill/>
                    <a:ln>
                      <a:noFill/>
                    </a:ln>
                  </pic:spPr>
                </pic:pic>
              </a:graphicData>
            </a:graphic>
          </wp:inline>
        </w:drawing>
      </w:r>
      <w:r>
        <w:drawing>
          <wp:inline distT="0" distB="0" distL="114300" distR="114300">
            <wp:extent cx="5264785" cy="3461385"/>
            <wp:effectExtent l="0" t="0" r="5715" b="571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44"/>
                    <a:stretch>
                      <a:fillRect/>
                    </a:stretch>
                  </pic:blipFill>
                  <pic:spPr>
                    <a:xfrm>
                      <a:off x="0" y="0"/>
                      <a:ext cx="5264785" cy="3461385"/>
                    </a:xfrm>
                    <a:prstGeom prst="rect">
                      <a:avLst/>
                    </a:prstGeom>
                    <a:noFill/>
                    <a:ln>
                      <a:noFill/>
                    </a:ln>
                  </pic:spPr>
                </pic:pic>
              </a:graphicData>
            </a:graphic>
          </wp:inline>
        </w:drawing>
      </w:r>
      <w:r>
        <w:drawing>
          <wp:inline distT="0" distB="0" distL="114300" distR="114300">
            <wp:extent cx="5274310" cy="3411220"/>
            <wp:effectExtent l="0" t="0" r="8890" b="508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45"/>
                    <a:stretch>
                      <a:fillRect/>
                    </a:stretch>
                  </pic:blipFill>
                  <pic:spPr>
                    <a:xfrm>
                      <a:off x="0" y="0"/>
                      <a:ext cx="5274310" cy="3411220"/>
                    </a:xfrm>
                    <a:prstGeom prst="rect">
                      <a:avLst/>
                    </a:prstGeom>
                    <a:noFill/>
                    <a:ln>
                      <a:noFill/>
                    </a:ln>
                  </pic:spPr>
                </pic:pic>
              </a:graphicData>
            </a:graphic>
          </wp:inline>
        </w:drawing>
      </w:r>
      <w:r>
        <w:drawing>
          <wp:inline distT="0" distB="0" distL="114300" distR="114300">
            <wp:extent cx="5267325" cy="3546475"/>
            <wp:effectExtent l="0" t="0" r="3175" b="952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46"/>
                    <a:stretch>
                      <a:fillRect/>
                    </a:stretch>
                  </pic:blipFill>
                  <pic:spPr>
                    <a:xfrm>
                      <a:off x="0" y="0"/>
                      <a:ext cx="5267325" cy="3546475"/>
                    </a:xfrm>
                    <a:prstGeom prst="rect">
                      <a:avLst/>
                    </a:prstGeom>
                    <a:noFill/>
                    <a:ln>
                      <a:noFill/>
                    </a:ln>
                  </pic:spPr>
                </pic:pic>
              </a:graphicData>
            </a:graphic>
          </wp:inline>
        </w:drawing>
      </w:r>
      <w:r>
        <w:drawing>
          <wp:inline distT="0" distB="0" distL="114300" distR="114300">
            <wp:extent cx="5271770" cy="3717290"/>
            <wp:effectExtent l="0" t="0" r="11430" b="381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47"/>
                    <a:stretch>
                      <a:fillRect/>
                    </a:stretch>
                  </pic:blipFill>
                  <pic:spPr>
                    <a:xfrm>
                      <a:off x="0" y="0"/>
                      <a:ext cx="5271770" cy="3717290"/>
                    </a:xfrm>
                    <a:prstGeom prst="rect">
                      <a:avLst/>
                    </a:prstGeom>
                    <a:noFill/>
                    <a:ln>
                      <a:noFill/>
                    </a:ln>
                  </pic:spPr>
                </pic:pic>
              </a:graphicData>
            </a:graphic>
          </wp:inline>
        </w:drawing>
      </w:r>
      <w:r>
        <w:drawing>
          <wp:inline distT="0" distB="0" distL="114300" distR="114300">
            <wp:extent cx="5273675" cy="3396615"/>
            <wp:effectExtent l="0" t="0" r="9525" b="698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48"/>
                    <a:stretch>
                      <a:fillRect/>
                    </a:stretch>
                  </pic:blipFill>
                  <pic:spPr>
                    <a:xfrm>
                      <a:off x="0" y="0"/>
                      <a:ext cx="5273675" cy="3396615"/>
                    </a:xfrm>
                    <a:prstGeom prst="rect">
                      <a:avLst/>
                    </a:prstGeom>
                    <a:noFill/>
                    <a:ln>
                      <a:noFill/>
                    </a:ln>
                  </pic:spPr>
                </pic:pic>
              </a:graphicData>
            </a:graphic>
          </wp:inline>
        </w:drawing>
      </w:r>
      <w:r>
        <w:drawing>
          <wp:inline distT="0" distB="0" distL="114300" distR="114300">
            <wp:extent cx="5263515" cy="3443605"/>
            <wp:effectExtent l="0" t="0" r="6985" b="10795"/>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49"/>
                    <a:stretch>
                      <a:fillRect/>
                    </a:stretch>
                  </pic:blipFill>
                  <pic:spPr>
                    <a:xfrm>
                      <a:off x="0" y="0"/>
                      <a:ext cx="5263515" cy="3443605"/>
                    </a:xfrm>
                    <a:prstGeom prst="rect">
                      <a:avLst/>
                    </a:prstGeom>
                    <a:noFill/>
                    <a:ln>
                      <a:noFill/>
                    </a:ln>
                  </pic:spPr>
                </pic:pic>
              </a:graphicData>
            </a:graphic>
          </wp:inline>
        </w:drawing>
      </w:r>
      <w:bookmarkEnd w:id="61"/>
    </w:p>
    <w:p>
      <w:pPr>
        <w:pStyle w:val="4"/>
        <w:rPr>
          <w:snapToGrid w:val="0"/>
          <w:color w:val="000000" w:themeColor="text1"/>
          <w:sz w:val="32"/>
          <w:szCs w:val="32"/>
          <w:highlight w:val="none"/>
          <w14:textFill>
            <w14:solidFill>
              <w14:schemeClr w14:val="tx1"/>
            </w14:solidFill>
          </w14:textFill>
        </w:rPr>
      </w:pPr>
      <w:bookmarkStart w:id="62" w:name="_Toc28325"/>
      <w:r>
        <w:rPr>
          <w:color w:val="000000" w:themeColor="text1"/>
          <w:highlight w:val="none"/>
          <w14:textFill>
            <w14:solidFill>
              <w14:schemeClr w14:val="tx1"/>
            </w14:solidFill>
          </w14:textFill>
        </w:rPr>
        <w:t>附件</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核定总量计算说明</w:t>
      </w:r>
      <w:bookmarkEnd w:id="58"/>
      <w:bookmarkEnd w:id="59"/>
      <w:bookmarkEnd w:id="62"/>
    </w:p>
    <w:p>
      <w:pPr>
        <w:widowControl/>
        <w:spacing w:line="360" w:lineRule="auto"/>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一、大气污染物计算说明</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14:textFill>
            <w14:solidFill>
              <w14:schemeClr w14:val="tx1"/>
            </w14:solidFill>
          </w14:textFill>
        </w:rPr>
        <w:t>根据《排污许可证申请与核发技术规范 锅炉》（HJ953-2018）</w:t>
      </w:r>
      <w:r>
        <w:rPr>
          <w:rFonts w:hint="eastAsia"/>
          <w:color w:val="000000" w:themeColor="text1"/>
          <w:sz w:val="24"/>
          <w14:textFill>
            <w14:solidFill>
              <w14:schemeClr w14:val="tx1"/>
            </w14:solidFill>
          </w14:textFill>
        </w:rPr>
        <w:t>，锅炉排污单位应优先采用理论公式（以燃料元素分析数据或组分分析数据为依据）计算基准烟气量。</w:t>
      </w:r>
      <w:r>
        <w:rPr>
          <w:color w:val="000000" w:themeColor="text1"/>
          <w:sz w:val="24"/>
          <w14:textFill>
            <w14:solidFill>
              <w14:schemeClr w14:val="tx1"/>
            </w14:solidFill>
          </w14:textFill>
        </w:rPr>
        <w:t>因此，</w:t>
      </w:r>
      <w:r>
        <w:rPr>
          <w:color w:val="000000" w:themeColor="text1"/>
          <w:sz w:val="24"/>
          <w:szCs w:val="32"/>
          <w14:textFill>
            <w14:solidFill>
              <w14:schemeClr w14:val="tx1"/>
            </w14:solidFill>
          </w14:textFill>
        </w:rPr>
        <w:t>a）烟气量按下式</w:t>
      </w:r>
      <w:r>
        <w:rPr>
          <w:rFonts w:hint="eastAsia"/>
          <w:color w:val="000000" w:themeColor="text1"/>
          <w:sz w:val="24"/>
          <w:szCs w:val="32"/>
          <w14:textFill>
            <w14:solidFill>
              <w14:schemeClr w14:val="tx1"/>
            </w14:solidFill>
          </w14:textFill>
        </w:rPr>
        <w:t>计算：</w:t>
      </w:r>
    </w:p>
    <w:p>
      <w:pPr>
        <w:spacing w:line="360" w:lineRule="auto"/>
        <w:ind w:firstLine="480" w:firstLineChars="200"/>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理论空气量：有元素</w:t>
      </w:r>
      <w:r>
        <w:rPr>
          <w:rFonts w:hint="eastAsia"/>
          <w:color w:val="000000" w:themeColor="text1"/>
          <w:sz w:val="24"/>
          <w:szCs w:val="32"/>
          <w14:textFill>
            <w14:solidFill>
              <w14:schemeClr w14:val="tx1"/>
            </w14:solidFill>
          </w14:textFill>
        </w:rPr>
        <w:t>成分</w:t>
      </w:r>
      <w:r>
        <w:rPr>
          <w:color w:val="000000" w:themeColor="text1"/>
          <w:sz w:val="24"/>
          <w:szCs w:val="32"/>
          <w14:textFill>
            <w14:solidFill>
              <w14:schemeClr w14:val="tx1"/>
            </w14:solidFill>
          </w14:textFill>
        </w:rPr>
        <w:t>分析时理论空气量可用公式计算</w:t>
      </w:r>
      <w:r>
        <w:rPr>
          <w:rFonts w:hint="eastAsia"/>
          <w:color w:val="000000" w:themeColor="text1"/>
          <w:sz w:val="24"/>
          <w:szCs w:val="32"/>
          <w14:textFill>
            <w14:solidFill>
              <w14:schemeClr w14:val="tx1"/>
            </w14:solidFill>
          </w14:textFill>
        </w:rPr>
        <w:t>：</w:t>
      </w:r>
    </w:p>
    <w:p>
      <w:pPr>
        <w:spacing w:line="440" w:lineRule="exact"/>
        <w:ind w:firstLine="420" w:firstLineChars="200"/>
        <w:rPr>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8"/>
                    <a:stretch>
                      <a:fillRect/>
                    </a:stretch>
                  </pic:blipFill>
                  <pic:spPr>
                    <a:xfrm>
                      <a:off x="0" y="0"/>
                      <a:ext cx="3317875" cy="213360"/>
                    </a:xfrm>
                    <a:prstGeom prst="rect">
                      <a:avLst/>
                    </a:prstGeom>
                    <a:noFill/>
                    <a:ln>
                      <a:noFill/>
                    </a:ln>
                  </pic:spPr>
                </pic:pic>
              </a:graphicData>
            </a:graphic>
          </wp:anchor>
        </w:drawing>
      </w: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w:t>
      </w:r>
      <w:r>
        <w:rPr>
          <w:color w:val="000000" w:themeColor="text1"/>
          <w:sz w:val="24"/>
          <w14:textFill>
            <w14:solidFill>
              <w14:schemeClr w14:val="tx1"/>
            </w14:solidFill>
          </w14:textFill>
        </w:rPr>
        <w:t>中，V</w:t>
      </w:r>
      <w:r>
        <w:rPr>
          <w:rFonts w:hint="eastAsia"/>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理论空气量</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kg</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w:t>
      </w:r>
      <w:r>
        <w:rPr>
          <w:color w:val="000000" w:themeColor="text1"/>
          <w:sz w:val="24"/>
          <w14:textFill>
            <w14:solidFill>
              <w14:schemeClr w14:val="tx1"/>
            </w14:solidFill>
          </w14:textFill>
        </w:rPr>
        <w:t>ar——收到基</w:t>
      </w:r>
      <w:r>
        <w:rPr>
          <w:rFonts w:hint="eastAsia"/>
          <w:color w:val="000000" w:themeColor="text1"/>
          <w:sz w:val="24"/>
          <w14:textFill>
            <w14:solidFill>
              <w14:schemeClr w14:val="tx1"/>
            </w14:solidFill>
          </w14:textFill>
        </w:rPr>
        <w:t>碳</w:t>
      </w:r>
      <w:r>
        <w:rPr>
          <w:color w:val="000000" w:themeColor="text1"/>
          <w:sz w:val="24"/>
          <w14:textFill>
            <w14:solidFill>
              <w14:schemeClr w14:val="tx1"/>
            </w14:solidFill>
          </w14:textFill>
        </w:rPr>
        <w:t>的质量分数，取</w:t>
      </w:r>
      <w:r>
        <w:rPr>
          <w:rFonts w:hint="eastAsia"/>
          <w:color w:val="000000" w:themeColor="text1"/>
          <w:sz w:val="24"/>
          <w14:textFill>
            <w14:solidFill>
              <w14:schemeClr w14:val="tx1"/>
            </w14:solidFill>
          </w14:textFill>
        </w:rPr>
        <w:t>38.82</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Sar——收到基硫含量，取</w:t>
      </w:r>
      <w:r>
        <w:rPr>
          <w:rFonts w:hint="eastAsia"/>
          <w:color w:val="000000" w:themeColor="text1"/>
          <w:sz w:val="24"/>
          <w14:textFill>
            <w14:solidFill>
              <w14:schemeClr w14:val="tx1"/>
            </w14:solidFill>
          </w14:textFill>
        </w:rPr>
        <w:t>0.07</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Har——收到基氢含量，取</w:t>
      </w:r>
      <w:r>
        <w:rPr>
          <w:rFonts w:hint="eastAsia"/>
          <w:color w:val="000000" w:themeColor="text1"/>
          <w:sz w:val="24"/>
          <w14:textFill>
            <w14:solidFill>
              <w14:schemeClr w14:val="tx1"/>
            </w14:solidFill>
          </w14:textFill>
        </w:rPr>
        <w:t>4.38</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Qar——收到基氧含量，取</w:t>
      </w:r>
      <w:r>
        <w:rPr>
          <w:rFonts w:hint="eastAsia"/>
          <w:color w:val="000000" w:themeColor="text1"/>
          <w:sz w:val="24"/>
          <w14:textFill>
            <w14:solidFill>
              <w14:schemeClr w14:val="tx1"/>
            </w14:solidFill>
          </w14:textFill>
        </w:rPr>
        <w:t>33.13</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干烟气排放量可用公式计算</w:t>
      </w:r>
      <w:r>
        <w:rPr>
          <w:rFonts w:hint="eastAsia"/>
          <w:color w:val="000000" w:themeColor="text1"/>
          <w:sz w:val="24"/>
          <w14:textFill>
            <w14:solidFill>
              <w14:schemeClr w14:val="tx1"/>
            </w14:solidFill>
          </w14:textFill>
        </w:rPr>
        <w:t>：</w:t>
      </w:r>
    </w:p>
    <w:p>
      <w:pPr>
        <w:keepNext/>
        <w:overflowPunct w:val="0"/>
        <w:snapToGrid w:val="0"/>
        <w:spacing w:line="360" w:lineRule="auto"/>
        <w:ind w:firstLine="480" w:firstLineChars="200"/>
        <w:rPr>
          <w:color w:val="000000" w:themeColor="text1"/>
          <w:kern w:val="44"/>
          <w:sz w:val="24"/>
          <w14:textFill>
            <w14:solidFill>
              <w14:schemeClr w14:val="tx1"/>
            </w14:solidFill>
          </w14:textFill>
        </w:rPr>
      </w:pPr>
      <m:oMath>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RO</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2</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m:t>
        </m:r>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CO</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2</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m:t>
        </m:r>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RO</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2</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=1.866×</m:t>
        </m:r>
        <m:f>
          <m:fPr>
            <m:ctrlPr>
              <w:rPr>
                <w:rFonts w:ascii="Cambria Math" w:hAnsi="Cambria Math"/>
                <w:color w:val="000000" w:themeColor="text1"/>
                <w:kern w:val="44"/>
                <w:sz w:val="24"/>
                <w14:textFill>
                  <w14:solidFill>
                    <w14:schemeClr w14:val="tx1"/>
                  </w14:solidFill>
                </w14:textFill>
              </w:rPr>
            </m:ctrlPr>
          </m:fPr>
          <m:num>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C</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ar</m:t>
                </m:r>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+0.375</m:t>
            </m:r>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S</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ar</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num>
          <m:den>
            <m:r>
              <m:rPr>
                <m:nor/>
                <m:sty m:val="p"/>
              </m:rPr>
              <w:rPr>
                <w:b w:val="0"/>
                <w:i w:val="0"/>
                <w:color w:val="000000" w:themeColor="text1"/>
                <w:kern w:val="44"/>
                <w:sz w:val="24"/>
                <w14:textFill>
                  <w14:solidFill>
                    <w14:schemeClr w14:val="tx1"/>
                  </w14:solidFill>
                </w14:textFill>
              </w:rPr>
              <m:t>100</m:t>
            </m:r>
            <m:ctrlPr>
              <w:rPr>
                <w:rFonts w:ascii="Cambria Math" w:hAnsi="Cambria Math"/>
                <w:color w:val="000000" w:themeColor="text1"/>
                <w:kern w:val="44"/>
                <w:sz w:val="24"/>
                <w14:textFill>
                  <w14:solidFill>
                    <w14:schemeClr w14:val="tx1"/>
                  </w14:solidFill>
                </w14:textFill>
              </w:rPr>
            </m:ctrlPr>
          </m:den>
        </m:f>
      </m:oMath>
      <w:r>
        <w:rPr>
          <w:rFonts w:ascii="Cambria Math" w:hAnsi="Cambria Math"/>
          <w:color w:val="000000" w:themeColor="text1"/>
          <w:kern w:val="44"/>
          <w:sz w:val="24"/>
          <w14:textFill>
            <w14:solidFill>
              <w14:schemeClr w14:val="tx1"/>
            </w14:solidFill>
          </w14:textFill>
        </w:rPr>
        <w:t xml:space="preserve"> </w:t>
      </w:r>
    </w:p>
    <w:p>
      <w:pPr>
        <w:spacing w:line="360" w:lineRule="auto"/>
        <w:ind w:firstLine="480" w:firstLineChars="200"/>
        <w:rPr>
          <w:color w:val="000000" w:themeColor="text1"/>
          <w:kern w:val="44"/>
          <w:sz w:val="24"/>
          <w14:textFill>
            <w14:solidFill>
              <w14:schemeClr w14:val="tx1"/>
            </w14:solidFill>
          </w14:textFill>
        </w:rPr>
      </w:pPr>
      <m:oMath>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N</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2</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=0.79</m:t>
        </m:r>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0</m:t>
            </m:r>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+0.8×</m:t>
        </m:r>
        <m:f>
          <m:fPr>
            <m:ctrlPr>
              <w:rPr>
                <w:rFonts w:ascii="Cambria Math" w:hAnsi="Cambria Math"/>
                <w:color w:val="000000" w:themeColor="text1"/>
                <w:kern w:val="44"/>
                <w:sz w:val="24"/>
                <w14:textFill>
                  <w14:solidFill>
                    <w14:schemeClr w14:val="tx1"/>
                  </w14:solidFill>
                </w14:textFill>
              </w:rPr>
            </m:ctrlPr>
          </m:fPr>
          <m:num>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N</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ar</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num>
          <m:den>
            <m:r>
              <m:rPr>
                <m:nor/>
                <m:sty m:val="p"/>
              </m:rPr>
              <w:rPr>
                <w:b w:val="0"/>
                <w:i w:val="0"/>
                <w:color w:val="000000" w:themeColor="text1"/>
                <w:kern w:val="44"/>
                <w:sz w:val="24"/>
                <w14:textFill>
                  <w14:solidFill>
                    <w14:schemeClr w14:val="tx1"/>
                  </w14:solidFill>
                </w14:textFill>
              </w:rPr>
              <m:t>100</m:t>
            </m:r>
            <m:ctrlPr>
              <w:rPr>
                <w:rFonts w:ascii="Cambria Math" w:hAnsi="Cambria Math"/>
                <w:color w:val="000000" w:themeColor="text1"/>
                <w:kern w:val="44"/>
                <w:sz w:val="24"/>
                <w14:textFill>
                  <w14:solidFill>
                    <w14:schemeClr w14:val="tx1"/>
                  </w14:solidFill>
                </w14:textFill>
              </w:rPr>
            </m:ctrlPr>
          </m:den>
        </m:f>
      </m:oMath>
      <w:r>
        <w:rPr>
          <w:rFonts w:ascii="Cambria Math" w:hAnsi="Cambria Math"/>
          <w:color w:val="000000" w:themeColor="text1"/>
          <w:kern w:val="44"/>
          <w:sz w:val="24"/>
          <w14:textFill>
            <w14:solidFill>
              <w14:schemeClr w14:val="tx1"/>
            </w14:solidFill>
          </w14:textFill>
        </w:rPr>
        <w:t xml:space="preserve"> </w:t>
      </w:r>
    </w:p>
    <w:p>
      <w:pPr>
        <w:spacing w:line="360" w:lineRule="auto"/>
        <w:ind w:firstLine="480" w:firstLineChars="200"/>
        <w:rPr>
          <w:rFonts w:eastAsia="黑体"/>
          <w:color w:val="000000" w:themeColor="text1"/>
          <w:sz w:val="24"/>
          <w14:textFill>
            <w14:solidFill>
              <w14:schemeClr w14:val="tx1"/>
            </w14:solidFill>
          </w14:textFill>
        </w:rPr>
      </w:pPr>
      <m:oMath>
        <m:sSub>
          <m:sSubPr>
            <m:ctrlPr>
              <w:rPr>
                <w:rFonts w:ascii="Cambria Math" w:hAnsi="Cambria Math"/>
                <w:i/>
                <w:color w:val="000000" w:themeColor="text1"/>
                <w:sz w:val="24"/>
                <w14:textFill>
                  <w14:solidFill>
                    <w14:schemeClr w14:val="tx1"/>
                  </w14:solidFill>
                </w14:textFill>
              </w:rPr>
            </m:ctrlPr>
          </m:sSubPr>
          <m:e>
            <m:r>
              <m:rPr>
                <m:nor/>
              </m:rPr>
              <w:rPr>
                <w:i/>
                <w:color w:val="000000" w:themeColor="text1"/>
                <w:sz w:val="24"/>
                <w14:textFill>
                  <w14:solidFill>
                    <w14:schemeClr w14:val="tx1"/>
                  </w14:solidFill>
                </w14:textFill>
              </w:rPr>
              <m:t>V</m:t>
            </m:r>
            <m:ctrlPr>
              <w:rPr>
                <w:rFonts w:ascii="Cambria Math" w:hAnsi="Cambria Math"/>
                <w:i/>
                <w:color w:val="000000" w:themeColor="text1"/>
                <w:sz w:val="24"/>
                <w14:textFill>
                  <w14:solidFill>
                    <w14:schemeClr w14:val="tx1"/>
                  </w14:solidFill>
                </w14:textFill>
              </w:rPr>
            </m:ctrlPr>
          </m:e>
          <m:sub>
            <m:r>
              <m:rPr>
                <m:nor/>
              </m:rPr>
              <w:rPr>
                <w:i/>
                <w:color w:val="000000" w:themeColor="text1"/>
                <w:sz w:val="24"/>
                <w14:textFill>
                  <w14:solidFill>
                    <w14:schemeClr w14:val="tx1"/>
                  </w14:solidFill>
                </w14:textFill>
              </w:rPr>
              <m:t>g</m:t>
            </m:r>
            <m:ctrlPr>
              <w:rPr>
                <w:rFonts w:ascii="Cambria Math" w:hAnsi="Cambria Math"/>
                <w:i/>
                <w:color w:val="000000" w:themeColor="text1"/>
                <w:sz w:val="24"/>
                <w14:textFill>
                  <w14:solidFill>
                    <w14:schemeClr w14:val="tx1"/>
                  </w14:solidFill>
                </w14:textFill>
              </w:rPr>
            </m:ctrlPr>
          </m:sub>
        </m:sSub>
        <m:r>
          <m:rPr>
            <m:nor/>
            <m:sty m:val="p"/>
          </m:rPr>
          <w:rPr>
            <w:b w:val="0"/>
            <w:i w:val="0"/>
            <w:color w:val="000000" w:themeColor="text1"/>
            <w:sz w:val="24"/>
            <w14:textFill>
              <w14:solidFill>
                <w14:schemeClr w14:val="tx1"/>
              </w14:solidFill>
            </w14:textFill>
          </w:rPr>
          <m:t>=</m:t>
        </m:r>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RO</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2</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m:t>
        </m:r>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N</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2</m:t>
                </m:r>
                <m:ctrlPr>
                  <w:rPr>
                    <w:rFonts w:ascii="Cambria Math" w:hAnsi="Cambria Math"/>
                    <w:color w:val="000000" w:themeColor="text1"/>
                    <w:kern w:val="44"/>
                    <w:sz w:val="24"/>
                    <w14:textFill>
                      <w14:solidFill>
                        <w14:schemeClr w14:val="tx1"/>
                      </w14:solidFill>
                    </w14:textFill>
                  </w:rPr>
                </m:ctrlPr>
              </m:sub>
            </m:sSub>
            <m:ctrlPr>
              <w:rPr>
                <w:rFonts w:ascii="Cambria Math" w:hAnsi="Cambria Math"/>
                <w:color w:val="000000" w:themeColor="text1"/>
                <w:kern w:val="44"/>
                <w:sz w:val="24"/>
                <w14:textFill>
                  <w14:solidFill>
                    <w14:schemeClr w14:val="tx1"/>
                  </w14:solidFill>
                </w14:textFill>
              </w:rPr>
            </m:ctrlPr>
          </m:sub>
        </m:sSub>
        <m:r>
          <m:rPr>
            <m:nor/>
            <m:sty m:val="p"/>
          </m:rPr>
          <w:rPr>
            <w:b w:val="0"/>
            <w:i w:val="0"/>
            <w:color w:val="000000" w:themeColor="text1"/>
            <w:kern w:val="44"/>
            <w:sz w:val="24"/>
            <w14:textFill>
              <w14:solidFill>
                <w14:schemeClr w14:val="tx1"/>
              </w14:solidFill>
            </w14:textFill>
          </w:rPr>
          <m:t>+(α-1)</m:t>
        </m:r>
        <m:sSub>
          <m:sSubPr>
            <m:ctrlPr>
              <w:rPr>
                <w:rFonts w:ascii="Cambria Math" w:hAnsi="Cambria Math"/>
                <w:color w:val="000000" w:themeColor="text1"/>
                <w:kern w:val="44"/>
                <w:sz w:val="24"/>
                <w14:textFill>
                  <w14:solidFill>
                    <w14:schemeClr w14:val="tx1"/>
                  </w14:solidFill>
                </w14:textFill>
              </w:rPr>
            </m:ctrlPr>
          </m:sSubPr>
          <m:e>
            <m:r>
              <m:rPr>
                <m:nor/>
                <m:sty m:val="p"/>
              </m:rPr>
              <w:rPr>
                <w:b w:val="0"/>
                <w:i w:val="0"/>
                <w:color w:val="000000" w:themeColor="text1"/>
                <w:kern w:val="44"/>
                <w:sz w:val="24"/>
                <w14:textFill>
                  <w14:solidFill>
                    <w14:schemeClr w14:val="tx1"/>
                  </w14:solidFill>
                </w14:textFill>
              </w:rPr>
              <m:t>V</m:t>
            </m:r>
            <m:ctrlPr>
              <w:rPr>
                <w:rFonts w:ascii="Cambria Math" w:hAnsi="Cambria Math"/>
                <w:color w:val="000000" w:themeColor="text1"/>
                <w:kern w:val="44"/>
                <w:sz w:val="24"/>
                <w14:textFill>
                  <w14:solidFill>
                    <w14:schemeClr w14:val="tx1"/>
                  </w14:solidFill>
                </w14:textFill>
              </w:rPr>
            </m:ctrlPr>
          </m:e>
          <m:sub>
            <m:r>
              <m:rPr>
                <m:nor/>
                <m:sty m:val="p"/>
              </m:rPr>
              <w:rPr>
                <w:b w:val="0"/>
                <w:i w:val="0"/>
                <w:color w:val="000000" w:themeColor="text1"/>
                <w:kern w:val="44"/>
                <w:sz w:val="24"/>
                <w14:textFill>
                  <w14:solidFill>
                    <w14:schemeClr w14:val="tx1"/>
                  </w14:solidFill>
                </w14:textFill>
              </w:rPr>
              <m:t>0</m:t>
            </m:r>
            <m:ctrlPr>
              <w:rPr>
                <w:rFonts w:ascii="Cambria Math" w:hAnsi="Cambria Math"/>
                <w:color w:val="000000" w:themeColor="text1"/>
                <w:kern w:val="44"/>
                <w:sz w:val="24"/>
                <w14:textFill>
                  <w14:solidFill>
                    <w14:schemeClr w14:val="tx1"/>
                  </w14:solidFill>
                </w14:textFill>
              </w:rPr>
            </m:ctrlPr>
          </m:sub>
        </m:sSub>
      </m:oMath>
      <w:r>
        <w:rPr>
          <w:rFonts w:ascii="Cambria Math" w:hAnsi="Cambria Math"/>
          <w:color w:val="000000" w:themeColor="text1"/>
          <w:kern w:val="44"/>
          <w:sz w:val="24"/>
          <w14:textFill>
            <w14:solidFill>
              <w14:schemeClr w14:val="tx1"/>
            </w14:solidFill>
          </w14:textFill>
        </w:rPr>
        <w:t xml:space="preserve"> </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w:t>
      </w:r>
      <w:r>
        <w:rPr>
          <w:color w:val="000000" w:themeColor="text1"/>
          <w:sz w:val="24"/>
          <w14:textFill>
            <w14:solidFill>
              <w14:schemeClr w14:val="tx1"/>
            </w14:solidFill>
          </w14:textFill>
        </w:rPr>
        <w:t>中，V</w:t>
      </w:r>
      <w:r>
        <w:rPr>
          <w:color w:val="000000" w:themeColor="text1"/>
          <w:sz w:val="24"/>
          <w:vertAlign w:val="subscript"/>
          <w14:textFill>
            <w14:solidFill>
              <w14:schemeClr w14:val="tx1"/>
            </w14:solidFill>
          </w14:textFill>
        </w:rPr>
        <w:t>RO2</w:t>
      </w:r>
      <w:r>
        <w:rPr>
          <w:color w:val="000000" w:themeColor="text1"/>
          <w:sz w:val="24"/>
          <w14:textFill>
            <w14:solidFill>
              <w14:schemeClr w14:val="tx1"/>
            </w14:solidFill>
          </w14:textFill>
        </w:rPr>
        <w:t>——烟气中二氧化碳（V</w:t>
      </w:r>
      <w:r>
        <w:rPr>
          <w:color w:val="000000" w:themeColor="text1"/>
          <w:sz w:val="24"/>
          <w:vertAlign w:val="subscript"/>
          <w14:textFill>
            <w14:solidFill>
              <w14:schemeClr w14:val="tx1"/>
            </w14:solidFill>
          </w14:textFill>
        </w:rPr>
        <w:t>CO2</w:t>
      </w:r>
      <w:r>
        <w:rPr>
          <w:color w:val="000000" w:themeColor="text1"/>
          <w:sz w:val="24"/>
          <w14:textFill>
            <w14:solidFill>
              <w14:schemeClr w14:val="tx1"/>
            </w14:solidFill>
          </w14:textFill>
        </w:rPr>
        <w:t>）和二氧化硫（V</w:t>
      </w:r>
      <w:r>
        <w:rPr>
          <w:color w:val="000000" w:themeColor="text1"/>
          <w:sz w:val="24"/>
          <w:vertAlign w:val="subscript"/>
          <w14:textFill>
            <w14:solidFill>
              <w14:schemeClr w14:val="tx1"/>
            </w14:solidFill>
          </w14:textFill>
        </w:rPr>
        <w:t>SO2</w:t>
      </w:r>
      <w:r>
        <w:rPr>
          <w:color w:val="000000" w:themeColor="text1"/>
          <w:sz w:val="24"/>
          <w14:textFill>
            <w14:solidFill>
              <w14:schemeClr w14:val="tx1"/>
            </w14:solidFill>
          </w14:textFill>
        </w:rPr>
        <w:t>）容积之和，</w:t>
      </w:r>
      <w:r>
        <w:rPr>
          <w:rFonts w:hint="eastAsia"/>
          <w:color w:val="000000" w:themeColor="text1"/>
          <w:sz w:val="24"/>
          <w14:textFill>
            <w14:solidFill>
              <w14:schemeClr w14:val="tx1"/>
            </w14:solidFill>
          </w14:textFill>
        </w:rPr>
        <w:t>经计算为0.72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Car——收到基碳的质量分数，</w:t>
      </w:r>
      <w:r>
        <w:rPr>
          <w:rFonts w:hint="eastAsia"/>
          <w:color w:val="000000" w:themeColor="text1"/>
          <w:sz w:val="24"/>
          <w14:textFill>
            <w14:solidFill>
              <w14:schemeClr w14:val="tx1"/>
            </w14:solidFill>
          </w14:textFill>
        </w:rPr>
        <w:t>取38.82</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Sar——收到基硫的质量分数</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取</w:t>
      </w:r>
      <w:r>
        <w:rPr>
          <w:rFonts w:hint="eastAsia"/>
          <w:color w:val="000000" w:themeColor="text1"/>
          <w:sz w:val="24"/>
          <w14:textFill>
            <w14:solidFill>
              <w14:schemeClr w14:val="tx1"/>
            </w14:solidFill>
          </w14:textFill>
        </w:rPr>
        <w:t>0.07</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N2</w:t>
      </w:r>
      <w:r>
        <w:rPr>
          <w:color w:val="000000" w:themeColor="text1"/>
          <w:sz w:val="24"/>
          <w14:textFill>
            <w14:solidFill>
              <w14:schemeClr w14:val="tx1"/>
            </w14:solidFill>
          </w14:textFill>
        </w:rPr>
        <w:t>——烟气中氮气量，m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r>
        <w:rPr>
          <w:rFonts w:hint="eastAsia"/>
          <w:color w:val="000000" w:themeColor="text1"/>
          <w:sz w:val="24"/>
          <w14:textFill>
            <w14:solidFill>
              <w14:schemeClr w14:val="tx1"/>
            </w14:solidFill>
          </w14:textFill>
        </w:rPr>
        <w:t>，经计算为2</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Nar——收到基氮的质量分数，</w:t>
      </w:r>
      <w:r>
        <w:rPr>
          <w:rFonts w:hint="eastAsia"/>
          <w:color w:val="000000" w:themeColor="text1"/>
          <w:sz w:val="24"/>
          <w14:textFill>
            <w14:solidFill>
              <w14:schemeClr w14:val="tx1"/>
            </w14:solidFill>
          </w14:textFill>
        </w:rPr>
        <w:t>取0.27</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w:t>
      </w:r>
      <w:r>
        <w:rPr>
          <w:color w:val="000000" w:themeColor="text1"/>
          <w:sz w:val="24"/>
          <w:vertAlign w:val="subscript"/>
          <w14:textFill>
            <w14:solidFill>
              <w14:schemeClr w14:val="tx1"/>
            </w14:solidFill>
          </w14:textFill>
        </w:rPr>
        <w:t>0</w:t>
      </w:r>
      <w:r>
        <w:rPr>
          <w:color w:val="000000" w:themeColor="text1"/>
          <w:sz w:val="24"/>
          <w14:textFill>
            <w14:solidFill>
              <w14:schemeClr w14:val="tx1"/>
            </w14:solidFill>
          </w14:textFill>
        </w:rPr>
        <w:t>——理论空气量，m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r>
        <w:rPr>
          <w:rFonts w:hint="eastAsia"/>
          <w:color w:val="000000" w:themeColor="text1"/>
          <w:sz w:val="24"/>
          <w14:textFill>
            <w14:solidFill>
              <w14:schemeClr w14:val="tx1"/>
            </w14:solidFill>
          </w14:textFill>
        </w:rPr>
        <w:t>，经计算为3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51</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Vg——干烟气排放量，m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r>
        <w:rPr>
          <w:rFonts w:hint="eastAsia"/>
          <w:color w:val="000000" w:themeColor="text1"/>
          <w:sz w:val="24"/>
          <w14:textFill>
            <w14:solidFill>
              <w14:schemeClr w14:val="tx1"/>
            </w14:solidFill>
          </w14:textFill>
        </w:rPr>
        <w:t>经计算为5.96</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/kg；</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α——过量空气系数，燃料燃烧时实际空气供给量与理论空气需要量之比值，燃煤锅炉、燃油锅炉及燃气锅炉的规定过量空气系数分别为1.75、1.2，对应基准氧含量分别为9%、3.5%；本次评价取</w:t>
      </w:r>
      <w:r>
        <w:rPr>
          <w:rFonts w:hint="eastAsia"/>
          <w:color w:val="000000" w:themeColor="text1"/>
          <w:sz w:val="24"/>
          <w14:textFill>
            <w14:solidFill>
              <w14:schemeClr w14:val="tx1"/>
            </w14:solidFill>
          </w14:textFill>
        </w:rPr>
        <w:t>1.7。</w:t>
      </w:r>
    </w:p>
    <w:p>
      <w:pPr>
        <w:tabs>
          <w:tab w:val="left" w:pos="6480"/>
        </w:tabs>
        <w:spacing w:line="360" w:lineRule="auto"/>
        <w:ind w:firstLine="56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本项目锅炉燃料耗量为</w:t>
      </w:r>
      <w:r>
        <w:rPr>
          <w:rFonts w:hint="eastAsia" w:hAnsi="宋体" w:cs="Times New Roman"/>
          <w:b w:val="0"/>
          <w:bCs w:val="0"/>
          <w:color w:val="000000" w:themeColor="text1"/>
          <w:kern w:val="2"/>
          <w:sz w:val="24"/>
          <w:szCs w:val="24"/>
          <w:lang w:val="en-US" w:eastAsia="zh-CN" w:bidi="ar-SA"/>
          <w14:textFill>
            <w14:solidFill>
              <w14:schemeClr w14:val="tx1"/>
            </w14:solidFill>
          </w14:textFill>
        </w:rPr>
        <w:t>4743.28</w:t>
      </w:r>
      <w:r>
        <w:rPr>
          <w:rFonts w:hint="eastAsia"/>
          <w:color w:val="000000" w:themeColor="text1"/>
          <w:sz w:val="24"/>
          <w14:textFill>
            <w14:solidFill>
              <w14:schemeClr w14:val="tx1"/>
            </w14:solidFill>
          </w14:textFill>
        </w:rPr>
        <w:t>t/a，</w:t>
      </w:r>
      <w:r>
        <w:rPr>
          <w:color w:val="000000" w:themeColor="text1"/>
          <w:sz w:val="24"/>
          <w14:textFill>
            <w14:solidFill>
              <w14:schemeClr w14:val="tx1"/>
            </w14:solidFill>
          </w14:textFill>
        </w:rPr>
        <w:t>经计算实际干烟气量</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28261771</w:t>
      </w:r>
      <w:r>
        <w:rPr>
          <w:color w:val="000000" w:themeColor="text1"/>
          <w:sz w:val="24"/>
          <w14:textFill>
            <w14:solidFill>
              <w14:schemeClr w14:val="tx1"/>
            </w14:solidFill>
          </w14:textFill>
        </w:rPr>
        <w:t>Nm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widowControl/>
        <w:spacing w:line="440" w:lineRule="exact"/>
        <w:ind w:firstLine="480" w:firstLineChars="2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计算过程：根据《排污许可证申请与核发技术规范</w:t>
      </w:r>
      <w:r>
        <w:rPr>
          <w:rFonts w:hint="eastAsia"/>
          <w:color w:val="000000" w:themeColor="text1"/>
          <w:kern w:val="0"/>
          <w:sz w:val="24"/>
          <w14:textFill>
            <w14:solidFill>
              <w14:schemeClr w14:val="tx1"/>
            </w14:solidFill>
          </w14:textFill>
        </w:rPr>
        <w:t xml:space="preserve"> 锅炉</w:t>
      </w:r>
      <w:r>
        <w:rPr>
          <w:color w:val="000000" w:themeColor="text1"/>
          <w:kern w:val="0"/>
          <w:sz w:val="24"/>
          <w14:textFill>
            <w14:solidFill>
              <w14:schemeClr w14:val="tx1"/>
            </w14:solidFill>
          </w14:textFill>
        </w:rPr>
        <w:t>》（HJ953-2018）</w:t>
      </w:r>
      <w:r>
        <w:rPr>
          <w:rFonts w:hint="eastAsia"/>
          <w:color w:val="000000" w:themeColor="text1"/>
          <w:kern w:val="0"/>
          <w:sz w:val="24"/>
          <w14:textFill>
            <w14:solidFill>
              <w14:schemeClr w14:val="tx1"/>
            </w14:solidFill>
          </w14:textFill>
        </w:rPr>
        <w:t>，</w:t>
      </w:r>
      <w:r>
        <w:rPr>
          <w:color w:val="000000" w:themeColor="text1"/>
          <w:kern w:val="0"/>
          <w:sz w:val="24"/>
          <w14:textFill>
            <w14:solidFill>
              <w14:schemeClr w14:val="tx1"/>
            </w14:solidFill>
          </w14:textFill>
        </w:rPr>
        <w:t>固体燃料锅炉的废气污染物（颗粒物、二氧化硫、氮氧化物）年许可排放量计算公式E年许可：</w:t>
      </w:r>
    </w:p>
    <w:p>
      <w:pPr>
        <w:widowControl/>
        <w:spacing w:line="440" w:lineRule="exact"/>
        <w:ind w:firstLine="630" w:firstLineChars="300"/>
        <w:jc w:val="left"/>
        <w:rPr>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1299210</wp:posOffset>
            </wp:positionH>
            <wp:positionV relativeFrom="paragraph">
              <wp:posOffset>33020</wp:posOffset>
            </wp:positionV>
            <wp:extent cx="2583180" cy="471170"/>
            <wp:effectExtent l="0" t="0" r="7620" b="5080"/>
            <wp:wrapTopAndBottom/>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0"/>
                    <a:stretch>
                      <a:fillRect/>
                    </a:stretch>
                  </pic:blipFill>
                  <pic:spPr>
                    <a:xfrm>
                      <a:off x="0" y="0"/>
                      <a:ext cx="2583180" cy="471170"/>
                    </a:xfrm>
                    <a:prstGeom prst="rect">
                      <a:avLst/>
                    </a:prstGeom>
                    <a:noFill/>
                    <a:ln>
                      <a:noFill/>
                    </a:ln>
                  </pic:spPr>
                </pic:pic>
              </a:graphicData>
            </a:graphic>
          </wp:anchor>
        </w:drawing>
      </w:r>
      <w:r>
        <w:rPr>
          <w:color w:val="000000" w:themeColor="text1"/>
          <w:kern w:val="0"/>
          <w:sz w:val="24"/>
          <w14:textFill>
            <w14:solidFill>
              <w14:schemeClr w14:val="tx1"/>
            </w14:solidFill>
          </w14:textFill>
        </w:rPr>
        <w:t>则E</w:t>
      </w:r>
      <w:r>
        <w:rPr>
          <w:color w:val="000000" w:themeColor="text1"/>
          <w:kern w:val="0"/>
          <w:sz w:val="24"/>
          <w:vertAlign w:val="subscript"/>
          <w14:textFill>
            <w14:solidFill>
              <w14:schemeClr w14:val="tx1"/>
            </w14:solidFill>
          </w14:textFill>
        </w:rPr>
        <w:t>颗粒物</w:t>
      </w:r>
      <w:r>
        <w:rPr>
          <w:color w:val="000000" w:themeColor="text1"/>
          <w:kern w:val="0"/>
          <w:sz w:val="24"/>
          <w14:textFill>
            <w14:solidFill>
              <w14:schemeClr w14:val="tx1"/>
            </w14:solidFill>
          </w14:textFill>
        </w:rPr>
        <w:t>=50mg/m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28261771</w:t>
      </w:r>
      <w:r>
        <w:rPr>
          <w:color w:val="000000" w:themeColor="text1"/>
          <w:kern w:val="0"/>
          <w:sz w:val="24"/>
          <w14:textFill>
            <w14:solidFill>
              <w14:schemeClr w14:val="tx1"/>
            </w14:solidFill>
          </w14:textFill>
        </w:rPr>
        <w:t>Nm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×1×10</w:t>
      </w:r>
      <w:r>
        <w:rPr>
          <w:color w:val="000000" w:themeColor="text1"/>
          <w:kern w:val="0"/>
          <w:sz w:val="24"/>
          <w:vertAlign w:val="superscript"/>
          <w14:textFill>
            <w14:solidFill>
              <w14:schemeClr w14:val="tx1"/>
            </w14:solidFill>
          </w14:textFill>
        </w:rPr>
        <w:t>-</w:t>
      </w:r>
      <w:r>
        <w:rPr>
          <w:rFonts w:hint="eastAsia"/>
          <w:color w:val="000000" w:themeColor="text1"/>
          <w:kern w:val="0"/>
          <w:sz w:val="24"/>
          <w:vertAlign w:val="superscript"/>
          <w14:textFill>
            <w14:solidFill>
              <w14:schemeClr w14:val="tx1"/>
            </w14:solidFill>
          </w14:textFill>
        </w:rPr>
        <w:t>9</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1.413t</w:t>
      </w:r>
      <w:r>
        <w:rPr>
          <w:color w:val="000000" w:themeColor="text1"/>
          <w:kern w:val="0"/>
          <w:sz w:val="24"/>
          <w14:textFill>
            <w14:solidFill>
              <w14:schemeClr w14:val="tx1"/>
            </w14:solidFill>
          </w14:textFill>
        </w:rPr>
        <w:t>/a；</w:t>
      </w:r>
    </w:p>
    <w:p>
      <w:pPr>
        <w:widowControl/>
        <w:spacing w:line="440" w:lineRule="exact"/>
        <w:ind w:firstLine="720" w:firstLineChars="300"/>
        <w:jc w:val="left"/>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E</w:t>
      </w:r>
      <w:r>
        <w:rPr>
          <w:color w:val="000000" w:themeColor="text1"/>
          <w:kern w:val="0"/>
          <w:sz w:val="24"/>
          <w:vertAlign w:val="subscript"/>
          <w14:textFill>
            <w14:solidFill>
              <w14:schemeClr w14:val="tx1"/>
            </w14:solidFill>
          </w14:textFill>
        </w:rPr>
        <w:t>二氧化硫</w:t>
      </w:r>
      <w:r>
        <w:rPr>
          <w:color w:val="000000" w:themeColor="text1"/>
          <w:kern w:val="0"/>
          <w:sz w:val="24"/>
          <w14:textFill>
            <w14:solidFill>
              <w14:schemeClr w14:val="tx1"/>
            </w14:solidFill>
          </w14:textFill>
        </w:rPr>
        <w:t>=300mg/m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28261771</w:t>
      </w:r>
      <w:r>
        <w:rPr>
          <w:color w:val="000000" w:themeColor="text1"/>
          <w:kern w:val="0"/>
          <w:sz w:val="24"/>
          <w14:textFill>
            <w14:solidFill>
              <w14:schemeClr w14:val="tx1"/>
            </w14:solidFill>
          </w14:textFill>
        </w:rPr>
        <w:t>Nm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×0.8×10</w:t>
      </w:r>
      <w:r>
        <w:rPr>
          <w:color w:val="000000" w:themeColor="text1"/>
          <w:kern w:val="0"/>
          <w:sz w:val="24"/>
          <w:vertAlign w:val="superscript"/>
          <w14:textFill>
            <w14:solidFill>
              <w14:schemeClr w14:val="tx1"/>
            </w14:solidFill>
          </w14:textFill>
        </w:rPr>
        <w:t>-</w:t>
      </w:r>
      <w:r>
        <w:rPr>
          <w:rFonts w:hint="eastAsia"/>
          <w:color w:val="000000" w:themeColor="text1"/>
          <w:kern w:val="0"/>
          <w:sz w:val="24"/>
          <w:vertAlign w:val="superscript"/>
          <w14:textFill>
            <w14:solidFill>
              <w14:schemeClr w14:val="tx1"/>
            </w14:solidFill>
          </w14:textFill>
        </w:rPr>
        <w:t>9</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6.783</w:t>
      </w:r>
      <w:r>
        <w:rPr>
          <w:color w:val="000000" w:themeColor="text1"/>
          <w:kern w:val="0"/>
          <w:sz w:val="24"/>
          <w14:textFill>
            <w14:solidFill>
              <w14:schemeClr w14:val="tx1"/>
            </w14:solidFill>
          </w14:textFill>
        </w:rPr>
        <w:t>t/a；</w:t>
      </w:r>
    </w:p>
    <w:p>
      <w:pPr>
        <w:widowControl/>
        <w:spacing w:line="440" w:lineRule="exact"/>
        <w:ind w:firstLine="720" w:firstLineChars="300"/>
        <w:jc w:val="left"/>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E</w:t>
      </w:r>
      <w:r>
        <w:rPr>
          <w:color w:val="000000" w:themeColor="text1"/>
          <w:kern w:val="0"/>
          <w:sz w:val="24"/>
          <w:vertAlign w:val="subscript"/>
          <w14:textFill>
            <w14:solidFill>
              <w14:schemeClr w14:val="tx1"/>
            </w14:solidFill>
          </w14:textFill>
        </w:rPr>
        <w:t>氮氧化物</w:t>
      </w:r>
      <w:r>
        <w:rPr>
          <w:color w:val="000000" w:themeColor="text1"/>
          <w:kern w:val="0"/>
          <w:sz w:val="24"/>
          <w14:textFill>
            <w14:solidFill>
              <w14:schemeClr w14:val="tx1"/>
            </w14:solidFill>
          </w14:textFill>
        </w:rPr>
        <w:t>=300mg/m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28261771</w:t>
      </w:r>
      <w:r>
        <w:rPr>
          <w:color w:val="000000" w:themeColor="text1"/>
          <w:kern w:val="0"/>
          <w:sz w:val="24"/>
          <w14:textFill>
            <w14:solidFill>
              <w14:schemeClr w14:val="tx1"/>
            </w14:solidFill>
          </w14:textFill>
        </w:rPr>
        <w:t>Nm</w:t>
      </w:r>
      <w:r>
        <w:rPr>
          <w:color w:val="000000" w:themeColor="text1"/>
          <w:kern w:val="0"/>
          <w:sz w:val="24"/>
          <w:vertAlign w:val="superscript"/>
          <w14:textFill>
            <w14:solidFill>
              <w14:schemeClr w14:val="tx1"/>
            </w14:solidFill>
          </w14:textFill>
        </w:rPr>
        <w:t>3</w:t>
      </w:r>
      <w:r>
        <w:rPr>
          <w:color w:val="000000" w:themeColor="text1"/>
          <w:kern w:val="0"/>
          <w:sz w:val="24"/>
          <w14:textFill>
            <w14:solidFill>
              <w14:schemeClr w14:val="tx1"/>
            </w14:solidFill>
          </w14:textFill>
        </w:rPr>
        <w:t>×1×10</w:t>
      </w:r>
      <w:r>
        <w:rPr>
          <w:color w:val="000000" w:themeColor="text1"/>
          <w:kern w:val="0"/>
          <w:sz w:val="24"/>
          <w:vertAlign w:val="superscript"/>
          <w14:textFill>
            <w14:solidFill>
              <w14:schemeClr w14:val="tx1"/>
            </w14:solidFill>
          </w14:textFill>
        </w:rPr>
        <w:t>-</w:t>
      </w:r>
      <w:r>
        <w:rPr>
          <w:rFonts w:hint="eastAsia"/>
          <w:color w:val="000000" w:themeColor="text1"/>
          <w:kern w:val="0"/>
          <w:sz w:val="24"/>
          <w:vertAlign w:val="superscript"/>
          <w14:textFill>
            <w14:solidFill>
              <w14:schemeClr w14:val="tx1"/>
            </w14:solidFill>
          </w14:textFill>
        </w:rPr>
        <w:t>9</w:t>
      </w:r>
      <w:r>
        <w:rPr>
          <w:color w:val="000000" w:themeColor="text1"/>
          <w:kern w:val="0"/>
          <w:sz w:val="24"/>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8.479</w:t>
      </w:r>
      <w:r>
        <w:rPr>
          <w:rFonts w:hint="eastAsia"/>
          <w:color w:val="000000" w:themeColor="text1"/>
          <w:kern w:val="0"/>
          <w:sz w:val="24"/>
          <w14:textFill>
            <w14:solidFill>
              <w14:schemeClr w14:val="tx1"/>
            </w14:solidFill>
          </w14:textFill>
        </w:rPr>
        <w:t>t</w:t>
      </w:r>
      <w:r>
        <w:rPr>
          <w:color w:val="000000" w:themeColor="text1"/>
          <w:kern w:val="0"/>
          <w:sz w:val="24"/>
          <w14:textFill>
            <w14:solidFill>
              <w14:schemeClr w14:val="tx1"/>
            </w14:solidFill>
          </w14:textFill>
        </w:rPr>
        <w:t>/a；</w:t>
      </w:r>
    </w:p>
    <w:p>
      <w:pPr>
        <w:pStyle w:val="117"/>
        <w:rPr>
          <w:b/>
          <w:bCs/>
          <w:color w:val="000000" w:themeColor="text1"/>
          <w14:textFill>
            <w14:solidFill>
              <w14:schemeClr w14:val="tx1"/>
            </w14:solidFill>
          </w14:textFill>
        </w:rPr>
      </w:pPr>
      <w:r>
        <w:rPr>
          <w:b/>
          <w:bCs/>
          <w:color w:val="000000" w:themeColor="text1"/>
          <w14:textFill>
            <w14:solidFill>
              <w14:schemeClr w14:val="tx1"/>
            </w14:solidFill>
          </w14:textFill>
        </w:rPr>
        <w:t>表1污染物核定排放量统计表</w:t>
      </w:r>
    </w:p>
    <w:tbl>
      <w:tblPr>
        <w:tblStyle w:val="36"/>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081"/>
        <w:gridCol w:w="1894"/>
        <w:gridCol w:w="2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79" w:hRule="atLeast"/>
          <w:jc w:val="center"/>
        </w:trPr>
        <w:tc>
          <w:tcPr>
            <w:tcW w:w="2275" w:type="dxa"/>
            <w:vAlign w:val="center"/>
          </w:tcPr>
          <w:p>
            <w:pPr>
              <w:pStyle w:val="34"/>
              <w:adjustRightInd w:val="0"/>
              <w:spacing w:after="0"/>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污染物</w:t>
            </w:r>
          </w:p>
        </w:tc>
        <w:tc>
          <w:tcPr>
            <w:tcW w:w="2081" w:type="dxa"/>
            <w:vAlign w:val="center"/>
          </w:tcPr>
          <w:p>
            <w:pPr>
              <w:pStyle w:val="34"/>
              <w:adjustRightInd w:val="0"/>
              <w:spacing w:after="0"/>
              <w:ind w:firstLine="0" w:firstLineChars="0"/>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颗粒物</w:t>
            </w:r>
            <w:r>
              <w:rPr>
                <w:rFonts w:hAnsi="宋体"/>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t/a</w:t>
            </w:r>
            <w:r>
              <w:rPr>
                <w:rFonts w:hAnsi="宋体"/>
                <w:color w:val="000000" w:themeColor="text1"/>
                <w:sz w:val="21"/>
                <w:szCs w:val="21"/>
                <w14:textFill>
                  <w14:solidFill>
                    <w14:schemeClr w14:val="tx1"/>
                  </w14:solidFill>
                </w14:textFill>
              </w:rPr>
              <w:t>）</w:t>
            </w:r>
          </w:p>
        </w:tc>
        <w:tc>
          <w:tcPr>
            <w:tcW w:w="1894" w:type="dxa"/>
            <w:vAlign w:val="center"/>
          </w:tcPr>
          <w:p>
            <w:pPr>
              <w:pStyle w:val="34"/>
              <w:adjustRightInd w:val="0"/>
              <w:spacing w:after="0"/>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r>
              <w:rPr>
                <w:rFonts w:hint="eastAsia"/>
                <w:color w:val="000000" w:themeColor="text1"/>
                <w:sz w:val="21"/>
                <w:szCs w:val="21"/>
                <w:vertAlign w:val="subscript"/>
                <w14:textFill>
                  <w14:solidFill>
                    <w14:schemeClr w14:val="tx1"/>
                  </w14:solidFill>
                </w14:textFill>
              </w:rPr>
              <w:t>(</w:t>
            </w:r>
            <w:r>
              <w:rPr>
                <w:color w:val="000000" w:themeColor="text1"/>
                <w:sz w:val="21"/>
                <w:szCs w:val="21"/>
                <w14:textFill>
                  <w14:solidFill>
                    <w14:schemeClr w14:val="tx1"/>
                  </w14:solidFill>
                </w14:textFill>
              </w:rPr>
              <w:t>t/a</w:t>
            </w:r>
            <w:r>
              <w:rPr>
                <w:rFonts w:hint="eastAsia"/>
                <w:color w:val="000000" w:themeColor="text1"/>
                <w:sz w:val="21"/>
                <w:szCs w:val="21"/>
                <w14:textFill>
                  <w14:solidFill>
                    <w14:schemeClr w14:val="tx1"/>
                  </w14:solidFill>
                </w14:textFill>
              </w:rPr>
              <w:t>)</w:t>
            </w:r>
          </w:p>
        </w:tc>
        <w:tc>
          <w:tcPr>
            <w:tcW w:w="2272" w:type="dxa"/>
            <w:vAlign w:val="center"/>
          </w:tcPr>
          <w:p>
            <w:pPr>
              <w:pStyle w:val="34"/>
              <w:adjustRightInd w:val="0"/>
              <w:spacing w:after="0"/>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X</w:t>
            </w:r>
            <w:r>
              <w:rPr>
                <w:rFonts w:hint="eastAsia"/>
                <w:color w:val="000000" w:themeColor="text1"/>
                <w:sz w:val="21"/>
                <w:szCs w:val="21"/>
                <w:vertAlign w:val="subscript"/>
                <w14:textFill>
                  <w14:solidFill>
                    <w14:schemeClr w14:val="tx1"/>
                  </w14:solidFill>
                </w14:textFill>
              </w:rPr>
              <w:t>(</w:t>
            </w:r>
            <w:r>
              <w:rPr>
                <w:color w:val="000000" w:themeColor="text1"/>
                <w:sz w:val="21"/>
                <w:szCs w:val="21"/>
                <w14:textFill>
                  <w14:solidFill>
                    <w14:schemeClr w14:val="tx1"/>
                  </w14:solidFill>
                </w14:textFill>
              </w:rPr>
              <w:t>t/a</w:t>
            </w:r>
            <w:r>
              <w:rPr>
                <w:rFonts w:hint="eastAsia"/>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2275" w:type="dxa"/>
            <w:vAlign w:val="center"/>
          </w:tcPr>
          <w:p>
            <w:pPr>
              <w:pStyle w:val="34"/>
              <w:adjustRightInd w:val="0"/>
              <w:spacing w:after="0"/>
              <w:ind w:firstLine="0" w:firstLineChars="0"/>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核</w:t>
            </w:r>
            <w:r>
              <w:rPr>
                <w:rFonts w:hint="eastAsia" w:hAnsi="宋体"/>
                <w:color w:val="000000" w:themeColor="text1"/>
                <w:sz w:val="21"/>
                <w:szCs w:val="21"/>
                <w14:textFill>
                  <w14:solidFill>
                    <w14:schemeClr w14:val="tx1"/>
                  </w14:solidFill>
                </w14:textFill>
              </w:rPr>
              <w:t>定</w:t>
            </w:r>
            <w:r>
              <w:rPr>
                <w:rFonts w:hAnsi="宋体"/>
                <w:color w:val="000000" w:themeColor="text1"/>
                <w:sz w:val="21"/>
                <w:szCs w:val="21"/>
                <w14:textFill>
                  <w14:solidFill>
                    <w14:schemeClr w14:val="tx1"/>
                  </w14:solidFill>
                </w14:textFill>
              </w:rPr>
              <w:t>排放量</w:t>
            </w:r>
          </w:p>
        </w:tc>
        <w:tc>
          <w:tcPr>
            <w:tcW w:w="2081" w:type="dxa"/>
            <w:vAlign w:val="center"/>
          </w:tcPr>
          <w:p>
            <w:pPr>
              <w:pStyle w:val="34"/>
              <w:adjustRightInd w:val="0"/>
              <w:spacing w:after="0"/>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1.413</w:t>
            </w:r>
          </w:p>
        </w:tc>
        <w:tc>
          <w:tcPr>
            <w:tcW w:w="1894" w:type="dxa"/>
            <w:vAlign w:val="center"/>
          </w:tcPr>
          <w:p>
            <w:pPr>
              <w:pStyle w:val="34"/>
              <w:adjustRightInd w:val="0"/>
              <w:spacing w:after="0"/>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6.783</w:t>
            </w:r>
          </w:p>
        </w:tc>
        <w:tc>
          <w:tcPr>
            <w:tcW w:w="2272" w:type="dxa"/>
            <w:vAlign w:val="center"/>
          </w:tcPr>
          <w:p>
            <w:pPr>
              <w:pStyle w:val="34"/>
              <w:adjustRightInd w:val="0"/>
              <w:spacing w:after="0"/>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8.479</w:t>
            </w:r>
          </w:p>
        </w:tc>
      </w:tr>
    </w:tbl>
    <w:p>
      <w:pPr>
        <w:outlineLvl w:val="9"/>
        <w:rPr>
          <w:color w:val="000000" w:themeColor="text1"/>
          <w14:textFill>
            <w14:solidFill>
              <w14:schemeClr w14:val="tx1"/>
            </w14:solidFill>
          </w14:textFill>
        </w:rPr>
      </w:pPr>
    </w:p>
    <w:p>
      <w:pPr>
        <w:outlineLvl w:val="9"/>
        <w:rPr>
          <w:color w:val="000000" w:themeColor="text1"/>
          <w14:textFill>
            <w14:solidFill>
              <w14:schemeClr w14:val="tx1"/>
            </w14:solidFill>
          </w14:textFill>
        </w:rPr>
      </w:pPr>
    </w:p>
    <w:p>
      <w:pPr>
        <w:rPr>
          <w:color w:val="000000" w:themeColor="text1"/>
          <w14:textFill>
            <w14:solidFill>
              <w14:schemeClr w14:val="tx1"/>
            </w14:solidFill>
          </w14:textFill>
        </w:rPr>
      </w:pP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hkOcVAgAAFQ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KhkOcVAgAAFQQAAA4AAAAAAAAA&#10;AQAgAAAAHwEAAGRycy9lMm9Eb2MueG1sUEsFBgAAAAAGAAYAWQEAAKY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fWQwUAgAAFQ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qyklmins6Pzt6/n74/nHFwIdAGqtn8Nva+EZujemw6IHvYcyzt1V&#10;TsUbExHYAfXpCq/oAuExaDaZzXKYOGzDA/mzp3DrfHgrjCJRKKjD/hKs7LjxoXcdXGI1bdaNlGmH&#10;UpO2oNOXr/M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V9ZDBQCAAAVBAAADgAAAAAAAAAB&#10;ACAAAAAfAQAAZHJzL2Uyb0RvYy54bWxQSwUGAAAAAAYABgBZAQAAp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1"/>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7A7B5E"/>
    <w:multiLevelType w:val="singleLevel"/>
    <w:tmpl w:val="FF7A7B5E"/>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ED6"/>
    <w:rsid w:val="00003983"/>
    <w:rsid w:val="00003FEC"/>
    <w:rsid w:val="00005B27"/>
    <w:rsid w:val="000060B3"/>
    <w:rsid w:val="000109C0"/>
    <w:rsid w:val="00015610"/>
    <w:rsid w:val="00016F3B"/>
    <w:rsid w:val="00022708"/>
    <w:rsid w:val="00022AEF"/>
    <w:rsid w:val="00024889"/>
    <w:rsid w:val="000269A2"/>
    <w:rsid w:val="00027801"/>
    <w:rsid w:val="0003423D"/>
    <w:rsid w:val="000365F0"/>
    <w:rsid w:val="000401CF"/>
    <w:rsid w:val="0004062F"/>
    <w:rsid w:val="00041629"/>
    <w:rsid w:val="00042B88"/>
    <w:rsid w:val="00043017"/>
    <w:rsid w:val="0004364B"/>
    <w:rsid w:val="000449E0"/>
    <w:rsid w:val="00044C01"/>
    <w:rsid w:val="00044DCD"/>
    <w:rsid w:val="000466DB"/>
    <w:rsid w:val="0004670E"/>
    <w:rsid w:val="000537C5"/>
    <w:rsid w:val="00061399"/>
    <w:rsid w:val="00061B1F"/>
    <w:rsid w:val="00063676"/>
    <w:rsid w:val="00063F9D"/>
    <w:rsid w:val="00065557"/>
    <w:rsid w:val="000656C0"/>
    <w:rsid w:val="00067431"/>
    <w:rsid w:val="0007095E"/>
    <w:rsid w:val="000733C4"/>
    <w:rsid w:val="00074783"/>
    <w:rsid w:val="0008070B"/>
    <w:rsid w:val="000810AC"/>
    <w:rsid w:val="00081A02"/>
    <w:rsid w:val="00082231"/>
    <w:rsid w:val="0008293A"/>
    <w:rsid w:val="00082C14"/>
    <w:rsid w:val="00083CAD"/>
    <w:rsid w:val="00092D38"/>
    <w:rsid w:val="0009377B"/>
    <w:rsid w:val="00095D74"/>
    <w:rsid w:val="000A1879"/>
    <w:rsid w:val="000A20C9"/>
    <w:rsid w:val="000A21FE"/>
    <w:rsid w:val="000A2A20"/>
    <w:rsid w:val="000A2E4F"/>
    <w:rsid w:val="000A3985"/>
    <w:rsid w:val="000B02A5"/>
    <w:rsid w:val="000B058F"/>
    <w:rsid w:val="000B1063"/>
    <w:rsid w:val="000B1BFA"/>
    <w:rsid w:val="000B31C5"/>
    <w:rsid w:val="000B382A"/>
    <w:rsid w:val="000B3C67"/>
    <w:rsid w:val="000B3C79"/>
    <w:rsid w:val="000B3F3A"/>
    <w:rsid w:val="000B4467"/>
    <w:rsid w:val="000B4DB9"/>
    <w:rsid w:val="000B4DD2"/>
    <w:rsid w:val="000C09AC"/>
    <w:rsid w:val="000C10AD"/>
    <w:rsid w:val="000C40A9"/>
    <w:rsid w:val="000C4DC5"/>
    <w:rsid w:val="000C601F"/>
    <w:rsid w:val="000C767F"/>
    <w:rsid w:val="000D417D"/>
    <w:rsid w:val="000D5A44"/>
    <w:rsid w:val="000D7457"/>
    <w:rsid w:val="000E06A2"/>
    <w:rsid w:val="000E0FC1"/>
    <w:rsid w:val="000E344D"/>
    <w:rsid w:val="000E3ED2"/>
    <w:rsid w:val="000E5116"/>
    <w:rsid w:val="000E60AC"/>
    <w:rsid w:val="000E6E61"/>
    <w:rsid w:val="000E75F8"/>
    <w:rsid w:val="000E7EA9"/>
    <w:rsid w:val="000F03F9"/>
    <w:rsid w:val="000F11CA"/>
    <w:rsid w:val="000F6D4E"/>
    <w:rsid w:val="00100A7B"/>
    <w:rsid w:val="00100A9F"/>
    <w:rsid w:val="00100CC2"/>
    <w:rsid w:val="00101932"/>
    <w:rsid w:val="00102529"/>
    <w:rsid w:val="001055CF"/>
    <w:rsid w:val="00105812"/>
    <w:rsid w:val="00105E86"/>
    <w:rsid w:val="00106AFE"/>
    <w:rsid w:val="00107724"/>
    <w:rsid w:val="00110145"/>
    <w:rsid w:val="00112DA2"/>
    <w:rsid w:val="0011633C"/>
    <w:rsid w:val="001208B8"/>
    <w:rsid w:val="00121E24"/>
    <w:rsid w:val="00123C30"/>
    <w:rsid w:val="0012486B"/>
    <w:rsid w:val="00125220"/>
    <w:rsid w:val="001307BB"/>
    <w:rsid w:val="001312C2"/>
    <w:rsid w:val="001316E5"/>
    <w:rsid w:val="00131F42"/>
    <w:rsid w:val="0013327C"/>
    <w:rsid w:val="001335C5"/>
    <w:rsid w:val="0013460F"/>
    <w:rsid w:val="00135184"/>
    <w:rsid w:val="001357B9"/>
    <w:rsid w:val="001357F1"/>
    <w:rsid w:val="00140E2E"/>
    <w:rsid w:val="00140FA8"/>
    <w:rsid w:val="00142FEB"/>
    <w:rsid w:val="00143A2D"/>
    <w:rsid w:val="00145975"/>
    <w:rsid w:val="00145A41"/>
    <w:rsid w:val="00146072"/>
    <w:rsid w:val="00151675"/>
    <w:rsid w:val="001532BD"/>
    <w:rsid w:val="00153E3A"/>
    <w:rsid w:val="001562D6"/>
    <w:rsid w:val="001566F1"/>
    <w:rsid w:val="00157435"/>
    <w:rsid w:val="00157AB5"/>
    <w:rsid w:val="00160180"/>
    <w:rsid w:val="00163DA0"/>
    <w:rsid w:val="00165003"/>
    <w:rsid w:val="00165E8A"/>
    <w:rsid w:val="00166099"/>
    <w:rsid w:val="00167BA0"/>
    <w:rsid w:val="00171370"/>
    <w:rsid w:val="001726EF"/>
    <w:rsid w:val="0017504D"/>
    <w:rsid w:val="0017671A"/>
    <w:rsid w:val="00177422"/>
    <w:rsid w:val="00184590"/>
    <w:rsid w:val="001870D1"/>
    <w:rsid w:val="0018781E"/>
    <w:rsid w:val="00191E11"/>
    <w:rsid w:val="0019262D"/>
    <w:rsid w:val="001A1830"/>
    <w:rsid w:val="001A1B35"/>
    <w:rsid w:val="001A22E4"/>
    <w:rsid w:val="001A48A2"/>
    <w:rsid w:val="001A6F61"/>
    <w:rsid w:val="001B72B8"/>
    <w:rsid w:val="001C0C62"/>
    <w:rsid w:val="001C2852"/>
    <w:rsid w:val="001C69B3"/>
    <w:rsid w:val="001D2A79"/>
    <w:rsid w:val="001D5595"/>
    <w:rsid w:val="001D7874"/>
    <w:rsid w:val="001D7F22"/>
    <w:rsid w:val="001E702C"/>
    <w:rsid w:val="001F0F17"/>
    <w:rsid w:val="001F31B8"/>
    <w:rsid w:val="001F3347"/>
    <w:rsid w:val="001F61DB"/>
    <w:rsid w:val="001F69E4"/>
    <w:rsid w:val="001F76E2"/>
    <w:rsid w:val="00201019"/>
    <w:rsid w:val="002018D6"/>
    <w:rsid w:val="002020BF"/>
    <w:rsid w:val="002027A3"/>
    <w:rsid w:val="002038DF"/>
    <w:rsid w:val="00206EA2"/>
    <w:rsid w:val="00210B5E"/>
    <w:rsid w:val="002119DF"/>
    <w:rsid w:val="00211D75"/>
    <w:rsid w:val="002125B4"/>
    <w:rsid w:val="00212EA4"/>
    <w:rsid w:val="002133F0"/>
    <w:rsid w:val="00213892"/>
    <w:rsid w:val="002145A1"/>
    <w:rsid w:val="002155B8"/>
    <w:rsid w:val="00215795"/>
    <w:rsid w:val="0021674E"/>
    <w:rsid w:val="00217EFA"/>
    <w:rsid w:val="0022091F"/>
    <w:rsid w:val="00220B81"/>
    <w:rsid w:val="00221C8F"/>
    <w:rsid w:val="00221CA8"/>
    <w:rsid w:val="00224839"/>
    <w:rsid w:val="002249B2"/>
    <w:rsid w:val="0022610D"/>
    <w:rsid w:val="00226574"/>
    <w:rsid w:val="00226C8A"/>
    <w:rsid w:val="002278EC"/>
    <w:rsid w:val="0023280E"/>
    <w:rsid w:val="00234433"/>
    <w:rsid w:val="00235517"/>
    <w:rsid w:val="002377D1"/>
    <w:rsid w:val="00241276"/>
    <w:rsid w:val="0024159C"/>
    <w:rsid w:val="002426F1"/>
    <w:rsid w:val="00242AE1"/>
    <w:rsid w:val="0024545C"/>
    <w:rsid w:val="002455FA"/>
    <w:rsid w:val="00245F63"/>
    <w:rsid w:val="00247104"/>
    <w:rsid w:val="00247449"/>
    <w:rsid w:val="002506BC"/>
    <w:rsid w:val="00254345"/>
    <w:rsid w:val="00264300"/>
    <w:rsid w:val="00264557"/>
    <w:rsid w:val="00266033"/>
    <w:rsid w:val="00267687"/>
    <w:rsid w:val="00267AAC"/>
    <w:rsid w:val="00270EBC"/>
    <w:rsid w:val="002729A3"/>
    <w:rsid w:val="002744A8"/>
    <w:rsid w:val="002805AB"/>
    <w:rsid w:val="00283373"/>
    <w:rsid w:val="00284204"/>
    <w:rsid w:val="0028472A"/>
    <w:rsid w:val="002849F9"/>
    <w:rsid w:val="00284FD0"/>
    <w:rsid w:val="00285B2F"/>
    <w:rsid w:val="002867E1"/>
    <w:rsid w:val="00286833"/>
    <w:rsid w:val="00291773"/>
    <w:rsid w:val="0029294D"/>
    <w:rsid w:val="0029340D"/>
    <w:rsid w:val="002A168C"/>
    <w:rsid w:val="002A29EF"/>
    <w:rsid w:val="002A3DC7"/>
    <w:rsid w:val="002B14F1"/>
    <w:rsid w:val="002B451B"/>
    <w:rsid w:val="002B45AC"/>
    <w:rsid w:val="002B4753"/>
    <w:rsid w:val="002B49E2"/>
    <w:rsid w:val="002B5A38"/>
    <w:rsid w:val="002B7B00"/>
    <w:rsid w:val="002B7C44"/>
    <w:rsid w:val="002B7D37"/>
    <w:rsid w:val="002C2B17"/>
    <w:rsid w:val="002C3266"/>
    <w:rsid w:val="002C370B"/>
    <w:rsid w:val="002C65F9"/>
    <w:rsid w:val="002D290B"/>
    <w:rsid w:val="002D35B4"/>
    <w:rsid w:val="002D3740"/>
    <w:rsid w:val="002D3DD0"/>
    <w:rsid w:val="002D4DE8"/>
    <w:rsid w:val="002D65BF"/>
    <w:rsid w:val="002E1883"/>
    <w:rsid w:val="002E1F3A"/>
    <w:rsid w:val="002E25C9"/>
    <w:rsid w:val="002E298A"/>
    <w:rsid w:val="002E6427"/>
    <w:rsid w:val="002E7B65"/>
    <w:rsid w:val="002F0BE0"/>
    <w:rsid w:val="002F1767"/>
    <w:rsid w:val="002F3635"/>
    <w:rsid w:val="00301978"/>
    <w:rsid w:val="0030332C"/>
    <w:rsid w:val="00304037"/>
    <w:rsid w:val="003051C2"/>
    <w:rsid w:val="00305A04"/>
    <w:rsid w:val="0030633F"/>
    <w:rsid w:val="00307EA4"/>
    <w:rsid w:val="00307F78"/>
    <w:rsid w:val="003113AD"/>
    <w:rsid w:val="00312296"/>
    <w:rsid w:val="00314F0E"/>
    <w:rsid w:val="003171E3"/>
    <w:rsid w:val="00321413"/>
    <w:rsid w:val="00321D8E"/>
    <w:rsid w:val="00322491"/>
    <w:rsid w:val="00323794"/>
    <w:rsid w:val="00323E8E"/>
    <w:rsid w:val="00324E8A"/>
    <w:rsid w:val="00325390"/>
    <w:rsid w:val="00325928"/>
    <w:rsid w:val="00332863"/>
    <w:rsid w:val="00334104"/>
    <w:rsid w:val="00334F94"/>
    <w:rsid w:val="00336186"/>
    <w:rsid w:val="0033684D"/>
    <w:rsid w:val="00337B42"/>
    <w:rsid w:val="00340B22"/>
    <w:rsid w:val="00340D9D"/>
    <w:rsid w:val="00341B42"/>
    <w:rsid w:val="0034348F"/>
    <w:rsid w:val="00343B2E"/>
    <w:rsid w:val="00347894"/>
    <w:rsid w:val="0035030B"/>
    <w:rsid w:val="00352BA6"/>
    <w:rsid w:val="00353259"/>
    <w:rsid w:val="003545FC"/>
    <w:rsid w:val="003561B1"/>
    <w:rsid w:val="00356653"/>
    <w:rsid w:val="00356C24"/>
    <w:rsid w:val="003571A6"/>
    <w:rsid w:val="0035743F"/>
    <w:rsid w:val="00357BE2"/>
    <w:rsid w:val="003602D4"/>
    <w:rsid w:val="0036170C"/>
    <w:rsid w:val="00361D0A"/>
    <w:rsid w:val="00363660"/>
    <w:rsid w:val="00364EC0"/>
    <w:rsid w:val="00366E0F"/>
    <w:rsid w:val="00372216"/>
    <w:rsid w:val="00381A72"/>
    <w:rsid w:val="003836A3"/>
    <w:rsid w:val="00384676"/>
    <w:rsid w:val="00386B92"/>
    <w:rsid w:val="00390857"/>
    <w:rsid w:val="00392DAD"/>
    <w:rsid w:val="00393275"/>
    <w:rsid w:val="003A10EF"/>
    <w:rsid w:val="003A1725"/>
    <w:rsid w:val="003A1AB1"/>
    <w:rsid w:val="003A3B0B"/>
    <w:rsid w:val="003A4BF3"/>
    <w:rsid w:val="003A5906"/>
    <w:rsid w:val="003B16D9"/>
    <w:rsid w:val="003B25E9"/>
    <w:rsid w:val="003B420D"/>
    <w:rsid w:val="003C0665"/>
    <w:rsid w:val="003C456E"/>
    <w:rsid w:val="003C5307"/>
    <w:rsid w:val="003C6C16"/>
    <w:rsid w:val="003D07C4"/>
    <w:rsid w:val="003D2A9C"/>
    <w:rsid w:val="003D794D"/>
    <w:rsid w:val="003E04D9"/>
    <w:rsid w:val="003E1209"/>
    <w:rsid w:val="003E1A4D"/>
    <w:rsid w:val="003E3058"/>
    <w:rsid w:val="003E4956"/>
    <w:rsid w:val="003E5071"/>
    <w:rsid w:val="003E76A9"/>
    <w:rsid w:val="003F0425"/>
    <w:rsid w:val="003F0809"/>
    <w:rsid w:val="003F3093"/>
    <w:rsid w:val="003F4345"/>
    <w:rsid w:val="003F6A8C"/>
    <w:rsid w:val="003F755C"/>
    <w:rsid w:val="00400389"/>
    <w:rsid w:val="00401756"/>
    <w:rsid w:val="00404613"/>
    <w:rsid w:val="004052EA"/>
    <w:rsid w:val="00406F01"/>
    <w:rsid w:val="00412E99"/>
    <w:rsid w:val="0041419C"/>
    <w:rsid w:val="00414AD8"/>
    <w:rsid w:val="00416572"/>
    <w:rsid w:val="00416703"/>
    <w:rsid w:val="00416D50"/>
    <w:rsid w:val="00416FD5"/>
    <w:rsid w:val="00417772"/>
    <w:rsid w:val="00417B2D"/>
    <w:rsid w:val="00417CB1"/>
    <w:rsid w:val="00417D6E"/>
    <w:rsid w:val="00420715"/>
    <w:rsid w:val="00420DA8"/>
    <w:rsid w:val="00420E6A"/>
    <w:rsid w:val="004230A2"/>
    <w:rsid w:val="00425A9E"/>
    <w:rsid w:val="004260A8"/>
    <w:rsid w:val="00426B51"/>
    <w:rsid w:val="00426D6B"/>
    <w:rsid w:val="004304C3"/>
    <w:rsid w:val="00430F13"/>
    <w:rsid w:val="00431E6C"/>
    <w:rsid w:val="00432B58"/>
    <w:rsid w:val="00433CE7"/>
    <w:rsid w:val="004377E3"/>
    <w:rsid w:val="00441D1D"/>
    <w:rsid w:val="00452738"/>
    <w:rsid w:val="004527E4"/>
    <w:rsid w:val="00454387"/>
    <w:rsid w:val="00454F9D"/>
    <w:rsid w:val="00455832"/>
    <w:rsid w:val="00455B71"/>
    <w:rsid w:val="00456091"/>
    <w:rsid w:val="004566A0"/>
    <w:rsid w:val="00464961"/>
    <w:rsid w:val="00465D1B"/>
    <w:rsid w:val="00466321"/>
    <w:rsid w:val="00467036"/>
    <w:rsid w:val="00467068"/>
    <w:rsid w:val="004760A0"/>
    <w:rsid w:val="004773B4"/>
    <w:rsid w:val="00480006"/>
    <w:rsid w:val="004800AE"/>
    <w:rsid w:val="00480C98"/>
    <w:rsid w:val="00481476"/>
    <w:rsid w:val="00484B9B"/>
    <w:rsid w:val="00484C47"/>
    <w:rsid w:val="004855F6"/>
    <w:rsid w:val="0048661E"/>
    <w:rsid w:val="00493A59"/>
    <w:rsid w:val="00494670"/>
    <w:rsid w:val="004953DF"/>
    <w:rsid w:val="00497258"/>
    <w:rsid w:val="00497E87"/>
    <w:rsid w:val="004A3823"/>
    <w:rsid w:val="004A4CB9"/>
    <w:rsid w:val="004A4D3C"/>
    <w:rsid w:val="004A565B"/>
    <w:rsid w:val="004A6B1C"/>
    <w:rsid w:val="004B3D76"/>
    <w:rsid w:val="004B41F4"/>
    <w:rsid w:val="004B53D7"/>
    <w:rsid w:val="004B56BF"/>
    <w:rsid w:val="004C3674"/>
    <w:rsid w:val="004C39BE"/>
    <w:rsid w:val="004D33A9"/>
    <w:rsid w:val="004D524B"/>
    <w:rsid w:val="004E08F0"/>
    <w:rsid w:val="004E39CD"/>
    <w:rsid w:val="004E44EC"/>
    <w:rsid w:val="004E680C"/>
    <w:rsid w:val="004E6946"/>
    <w:rsid w:val="004E7C06"/>
    <w:rsid w:val="004F1AD8"/>
    <w:rsid w:val="004F2CBA"/>
    <w:rsid w:val="004F4839"/>
    <w:rsid w:val="004F6382"/>
    <w:rsid w:val="004F6D7F"/>
    <w:rsid w:val="0050164D"/>
    <w:rsid w:val="005039CB"/>
    <w:rsid w:val="00504A67"/>
    <w:rsid w:val="0050558F"/>
    <w:rsid w:val="00506286"/>
    <w:rsid w:val="005104F5"/>
    <w:rsid w:val="00510813"/>
    <w:rsid w:val="00510A06"/>
    <w:rsid w:val="0051107B"/>
    <w:rsid w:val="00511990"/>
    <w:rsid w:val="00511DE0"/>
    <w:rsid w:val="00514870"/>
    <w:rsid w:val="00514B9B"/>
    <w:rsid w:val="00517F02"/>
    <w:rsid w:val="0052226A"/>
    <w:rsid w:val="00522F2B"/>
    <w:rsid w:val="005230ED"/>
    <w:rsid w:val="00523EF9"/>
    <w:rsid w:val="00524303"/>
    <w:rsid w:val="005258A2"/>
    <w:rsid w:val="0053554D"/>
    <w:rsid w:val="0053585A"/>
    <w:rsid w:val="005364FB"/>
    <w:rsid w:val="00537304"/>
    <w:rsid w:val="005376C0"/>
    <w:rsid w:val="00540129"/>
    <w:rsid w:val="005401AE"/>
    <w:rsid w:val="00542125"/>
    <w:rsid w:val="00542E07"/>
    <w:rsid w:val="00545028"/>
    <w:rsid w:val="00545424"/>
    <w:rsid w:val="00545C1A"/>
    <w:rsid w:val="00547ADB"/>
    <w:rsid w:val="00554A7B"/>
    <w:rsid w:val="00555591"/>
    <w:rsid w:val="0055572C"/>
    <w:rsid w:val="0056106A"/>
    <w:rsid w:val="00561671"/>
    <w:rsid w:val="00563A07"/>
    <w:rsid w:val="00564A2D"/>
    <w:rsid w:val="005709EC"/>
    <w:rsid w:val="005720AE"/>
    <w:rsid w:val="00572C53"/>
    <w:rsid w:val="005741DF"/>
    <w:rsid w:val="00576002"/>
    <w:rsid w:val="005836C7"/>
    <w:rsid w:val="005841C9"/>
    <w:rsid w:val="0058554B"/>
    <w:rsid w:val="0058555C"/>
    <w:rsid w:val="00586BB5"/>
    <w:rsid w:val="00594D77"/>
    <w:rsid w:val="005969E4"/>
    <w:rsid w:val="00597F37"/>
    <w:rsid w:val="005A06B7"/>
    <w:rsid w:val="005A1759"/>
    <w:rsid w:val="005A1F50"/>
    <w:rsid w:val="005A271C"/>
    <w:rsid w:val="005A2EB7"/>
    <w:rsid w:val="005A68A7"/>
    <w:rsid w:val="005A6A27"/>
    <w:rsid w:val="005A7264"/>
    <w:rsid w:val="005A7A09"/>
    <w:rsid w:val="005B13F3"/>
    <w:rsid w:val="005B1BC4"/>
    <w:rsid w:val="005B1F05"/>
    <w:rsid w:val="005B4B22"/>
    <w:rsid w:val="005C507D"/>
    <w:rsid w:val="005C5848"/>
    <w:rsid w:val="005D36AB"/>
    <w:rsid w:val="005D540B"/>
    <w:rsid w:val="005D73F2"/>
    <w:rsid w:val="005D7D76"/>
    <w:rsid w:val="005E36EE"/>
    <w:rsid w:val="005E7970"/>
    <w:rsid w:val="005F10BA"/>
    <w:rsid w:val="005F3471"/>
    <w:rsid w:val="005F4369"/>
    <w:rsid w:val="005F58BA"/>
    <w:rsid w:val="006035E8"/>
    <w:rsid w:val="00603668"/>
    <w:rsid w:val="00603C25"/>
    <w:rsid w:val="00605351"/>
    <w:rsid w:val="00610626"/>
    <w:rsid w:val="00617CC3"/>
    <w:rsid w:val="00617D82"/>
    <w:rsid w:val="006218A4"/>
    <w:rsid w:val="00621F6E"/>
    <w:rsid w:val="00625BA6"/>
    <w:rsid w:val="00627C7A"/>
    <w:rsid w:val="006306C5"/>
    <w:rsid w:val="00631071"/>
    <w:rsid w:val="0063421F"/>
    <w:rsid w:val="006353C3"/>
    <w:rsid w:val="00635FD6"/>
    <w:rsid w:val="0063680A"/>
    <w:rsid w:val="00636B9E"/>
    <w:rsid w:val="006370F0"/>
    <w:rsid w:val="006377A6"/>
    <w:rsid w:val="00637A3D"/>
    <w:rsid w:val="006411EF"/>
    <w:rsid w:val="00646788"/>
    <w:rsid w:val="00646C8A"/>
    <w:rsid w:val="00657049"/>
    <w:rsid w:val="00657387"/>
    <w:rsid w:val="00660A01"/>
    <w:rsid w:val="00660DC9"/>
    <w:rsid w:val="00662E31"/>
    <w:rsid w:val="00666352"/>
    <w:rsid w:val="0067017C"/>
    <w:rsid w:val="0067275E"/>
    <w:rsid w:val="00673668"/>
    <w:rsid w:val="006748B8"/>
    <w:rsid w:val="00677127"/>
    <w:rsid w:val="006775C3"/>
    <w:rsid w:val="00681884"/>
    <w:rsid w:val="006818F0"/>
    <w:rsid w:val="0068234A"/>
    <w:rsid w:val="00683D98"/>
    <w:rsid w:val="00683EF6"/>
    <w:rsid w:val="00687AA9"/>
    <w:rsid w:val="00690050"/>
    <w:rsid w:val="00691E0C"/>
    <w:rsid w:val="0069290A"/>
    <w:rsid w:val="006959F9"/>
    <w:rsid w:val="0069775A"/>
    <w:rsid w:val="00697813"/>
    <w:rsid w:val="006A1745"/>
    <w:rsid w:val="006A2167"/>
    <w:rsid w:val="006A3EE8"/>
    <w:rsid w:val="006A6130"/>
    <w:rsid w:val="006A6EA1"/>
    <w:rsid w:val="006A72BF"/>
    <w:rsid w:val="006A7E9B"/>
    <w:rsid w:val="006B03F2"/>
    <w:rsid w:val="006B05DD"/>
    <w:rsid w:val="006B1F09"/>
    <w:rsid w:val="006B315C"/>
    <w:rsid w:val="006B37DC"/>
    <w:rsid w:val="006B4F68"/>
    <w:rsid w:val="006B749C"/>
    <w:rsid w:val="006C0592"/>
    <w:rsid w:val="006C272E"/>
    <w:rsid w:val="006C3096"/>
    <w:rsid w:val="006C37F0"/>
    <w:rsid w:val="006C5479"/>
    <w:rsid w:val="006C552A"/>
    <w:rsid w:val="006C5A36"/>
    <w:rsid w:val="006C7714"/>
    <w:rsid w:val="006D047F"/>
    <w:rsid w:val="006D13B5"/>
    <w:rsid w:val="006D3ED0"/>
    <w:rsid w:val="006D42BF"/>
    <w:rsid w:val="006D52E7"/>
    <w:rsid w:val="006D5D5D"/>
    <w:rsid w:val="006E12FF"/>
    <w:rsid w:val="006E5EDF"/>
    <w:rsid w:val="006E607E"/>
    <w:rsid w:val="006E6C24"/>
    <w:rsid w:val="006F415C"/>
    <w:rsid w:val="006F4B24"/>
    <w:rsid w:val="006F50B5"/>
    <w:rsid w:val="006F5F2C"/>
    <w:rsid w:val="006F6127"/>
    <w:rsid w:val="006F626D"/>
    <w:rsid w:val="00703CBA"/>
    <w:rsid w:val="007065AD"/>
    <w:rsid w:val="00706C5D"/>
    <w:rsid w:val="00706F82"/>
    <w:rsid w:val="007147D2"/>
    <w:rsid w:val="00715DAA"/>
    <w:rsid w:val="00716970"/>
    <w:rsid w:val="00716D53"/>
    <w:rsid w:val="0071762F"/>
    <w:rsid w:val="00727D1B"/>
    <w:rsid w:val="0073074A"/>
    <w:rsid w:val="00732922"/>
    <w:rsid w:val="00736093"/>
    <w:rsid w:val="00736F44"/>
    <w:rsid w:val="00742E8D"/>
    <w:rsid w:val="0074440F"/>
    <w:rsid w:val="00744579"/>
    <w:rsid w:val="00745132"/>
    <w:rsid w:val="007454F4"/>
    <w:rsid w:val="00745A2A"/>
    <w:rsid w:val="00747593"/>
    <w:rsid w:val="0075162E"/>
    <w:rsid w:val="0075307D"/>
    <w:rsid w:val="00754034"/>
    <w:rsid w:val="00755FBF"/>
    <w:rsid w:val="00756556"/>
    <w:rsid w:val="007618C4"/>
    <w:rsid w:val="007625AA"/>
    <w:rsid w:val="0076283B"/>
    <w:rsid w:val="00767980"/>
    <w:rsid w:val="00770B19"/>
    <w:rsid w:val="0077378A"/>
    <w:rsid w:val="0077463F"/>
    <w:rsid w:val="00776820"/>
    <w:rsid w:val="007836EA"/>
    <w:rsid w:val="00784CDA"/>
    <w:rsid w:val="0078709B"/>
    <w:rsid w:val="007906C4"/>
    <w:rsid w:val="007906DE"/>
    <w:rsid w:val="00792493"/>
    <w:rsid w:val="007940EA"/>
    <w:rsid w:val="007967E8"/>
    <w:rsid w:val="00796E0E"/>
    <w:rsid w:val="007A0637"/>
    <w:rsid w:val="007A2170"/>
    <w:rsid w:val="007A22BF"/>
    <w:rsid w:val="007A3323"/>
    <w:rsid w:val="007A7A6D"/>
    <w:rsid w:val="007B0365"/>
    <w:rsid w:val="007B109B"/>
    <w:rsid w:val="007B6482"/>
    <w:rsid w:val="007B6CE1"/>
    <w:rsid w:val="007B72B8"/>
    <w:rsid w:val="007B796C"/>
    <w:rsid w:val="007B7A58"/>
    <w:rsid w:val="007C193C"/>
    <w:rsid w:val="007C21B5"/>
    <w:rsid w:val="007C2451"/>
    <w:rsid w:val="007C5005"/>
    <w:rsid w:val="007C63AC"/>
    <w:rsid w:val="007D279F"/>
    <w:rsid w:val="007D5800"/>
    <w:rsid w:val="007E05F7"/>
    <w:rsid w:val="007E1D91"/>
    <w:rsid w:val="007E285B"/>
    <w:rsid w:val="007E2C29"/>
    <w:rsid w:val="007E4446"/>
    <w:rsid w:val="007E4ACD"/>
    <w:rsid w:val="007E4BD2"/>
    <w:rsid w:val="007E678F"/>
    <w:rsid w:val="007F704A"/>
    <w:rsid w:val="007F747B"/>
    <w:rsid w:val="00800283"/>
    <w:rsid w:val="00801393"/>
    <w:rsid w:val="00802F88"/>
    <w:rsid w:val="00803714"/>
    <w:rsid w:val="0080590F"/>
    <w:rsid w:val="00812731"/>
    <w:rsid w:val="0081293E"/>
    <w:rsid w:val="00815465"/>
    <w:rsid w:val="00815DBC"/>
    <w:rsid w:val="00816784"/>
    <w:rsid w:val="00816DD3"/>
    <w:rsid w:val="00817E9A"/>
    <w:rsid w:val="00820AF7"/>
    <w:rsid w:val="00823575"/>
    <w:rsid w:val="00825B6E"/>
    <w:rsid w:val="0082627B"/>
    <w:rsid w:val="008306BD"/>
    <w:rsid w:val="008307E9"/>
    <w:rsid w:val="00831A80"/>
    <w:rsid w:val="00833743"/>
    <w:rsid w:val="008340A4"/>
    <w:rsid w:val="00836BD6"/>
    <w:rsid w:val="00837AF6"/>
    <w:rsid w:val="00837FD2"/>
    <w:rsid w:val="00841F27"/>
    <w:rsid w:val="00842CAB"/>
    <w:rsid w:val="00847973"/>
    <w:rsid w:val="00850CB3"/>
    <w:rsid w:val="0085109A"/>
    <w:rsid w:val="0085164F"/>
    <w:rsid w:val="00856B46"/>
    <w:rsid w:val="008570D8"/>
    <w:rsid w:val="00864E06"/>
    <w:rsid w:val="0086638B"/>
    <w:rsid w:val="0087135F"/>
    <w:rsid w:val="00872D94"/>
    <w:rsid w:val="00873448"/>
    <w:rsid w:val="00876ED8"/>
    <w:rsid w:val="00877501"/>
    <w:rsid w:val="0087799D"/>
    <w:rsid w:val="00880364"/>
    <w:rsid w:val="008879A5"/>
    <w:rsid w:val="00890462"/>
    <w:rsid w:val="00891592"/>
    <w:rsid w:val="00891E9E"/>
    <w:rsid w:val="00895A45"/>
    <w:rsid w:val="00897BE2"/>
    <w:rsid w:val="008A2F68"/>
    <w:rsid w:val="008A73AF"/>
    <w:rsid w:val="008A79A6"/>
    <w:rsid w:val="008B3F0B"/>
    <w:rsid w:val="008B4FA6"/>
    <w:rsid w:val="008B5282"/>
    <w:rsid w:val="008B71A9"/>
    <w:rsid w:val="008B7C17"/>
    <w:rsid w:val="008C0CDC"/>
    <w:rsid w:val="008C2D01"/>
    <w:rsid w:val="008C40E6"/>
    <w:rsid w:val="008C5C74"/>
    <w:rsid w:val="008D00B0"/>
    <w:rsid w:val="008D0F7A"/>
    <w:rsid w:val="008D3DCE"/>
    <w:rsid w:val="008D62FE"/>
    <w:rsid w:val="008D68E4"/>
    <w:rsid w:val="008E02A7"/>
    <w:rsid w:val="008E0506"/>
    <w:rsid w:val="008E0CFF"/>
    <w:rsid w:val="008E4E07"/>
    <w:rsid w:val="008E5D6B"/>
    <w:rsid w:val="008E76F0"/>
    <w:rsid w:val="008F15FE"/>
    <w:rsid w:val="008F1F6D"/>
    <w:rsid w:val="008F2C67"/>
    <w:rsid w:val="008F2D29"/>
    <w:rsid w:val="008F423B"/>
    <w:rsid w:val="008F5187"/>
    <w:rsid w:val="008F60D8"/>
    <w:rsid w:val="008F6F6F"/>
    <w:rsid w:val="00902727"/>
    <w:rsid w:val="00902CC5"/>
    <w:rsid w:val="00903048"/>
    <w:rsid w:val="0090312B"/>
    <w:rsid w:val="00903359"/>
    <w:rsid w:val="00905EE8"/>
    <w:rsid w:val="00906522"/>
    <w:rsid w:val="009070F9"/>
    <w:rsid w:val="00907E1B"/>
    <w:rsid w:val="009104FE"/>
    <w:rsid w:val="00911E1F"/>
    <w:rsid w:val="009120B4"/>
    <w:rsid w:val="009151EA"/>
    <w:rsid w:val="0091736D"/>
    <w:rsid w:val="0092112D"/>
    <w:rsid w:val="00922FE1"/>
    <w:rsid w:val="0092398F"/>
    <w:rsid w:val="0092572C"/>
    <w:rsid w:val="00926B44"/>
    <w:rsid w:val="00926DC0"/>
    <w:rsid w:val="00927953"/>
    <w:rsid w:val="00930356"/>
    <w:rsid w:val="0093037A"/>
    <w:rsid w:val="009305B8"/>
    <w:rsid w:val="009320F6"/>
    <w:rsid w:val="00932DA7"/>
    <w:rsid w:val="00937F77"/>
    <w:rsid w:val="00940DA4"/>
    <w:rsid w:val="0094154D"/>
    <w:rsid w:val="0094464F"/>
    <w:rsid w:val="0094751C"/>
    <w:rsid w:val="00947D1B"/>
    <w:rsid w:val="00950246"/>
    <w:rsid w:val="0095155F"/>
    <w:rsid w:val="009519A4"/>
    <w:rsid w:val="00951A6B"/>
    <w:rsid w:val="00954429"/>
    <w:rsid w:val="009563CE"/>
    <w:rsid w:val="009573C6"/>
    <w:rsid w:val="00964038"/>
    <w:rsid w:val="009661BB"/>
    <w:rsid w:val="0096698C"/>
    <w:rsid w:val="00970C2A"/>
    <w:rsid w:val="0097171F"/>
    <w:rsid w:val="00976328"/>
    <w:rsid w:val="0097680D"/>
    <w:rsid w:val="00976B93"/>
    <w:rsid w:val="00982438"/>
    <w:rsid w:val="00982D24"/>
    <w:rsid w:val="00983E6A"/>
    <w:rsid w:val="0098404C"/>
    <w:rsid w:val="00985283"/>
    <w:rsid w:val="00985A70"/>
    <w:rsid w:val="009873A4"/>
    <w:rsid w:val="009878BD"/>
    <w:rsid w:val="009933F0"/>
    <w:rsid w:val="009954D7"/>
    <w:rsid w:val="00995992"/>
    <w:rsid w:val="009A03E5"/>
    <w:rsid w:val="009A0F3B"/>
    <w:rsid w:val="009A1BB4"/>
    <w:rsid w:val="009A234E"/>
    <w:rsid w:val="009A2628"/>
    <w:rsid w:val="009A2D8F"/>
    <w:rsid w:val="009A3200"/>
    <w:rsid w:val="009A362D"/>
    <w:rsid w:val="009A4186"/>
    <w:rsid w:val="009A7E1C"/>
    <w:rsid w:val="009B0897"/>
    <w:rsid w:val="009B09E8"/>
    <w:rsid w:val="009B14B8"/>
    <w:rsid w:val="009B2C51"/>
    <w:rsid w:val="009B7130"/>
    <w:rsid w:val="009B7BD9"/>
    <w:rsid w:val="009C2C5A"/>
    <w:rsid w:val="009C7DD5"/>
    <w:rsid w:val="009D0C3E"/>
    <w:rsid w:val="009D7A81"/>
    <w:rsid w:val="009E227D"/>
    <w:rsid w:val="009E294C"/>
    <w:rsid w:val="009E4E51"/>
    <w:rsid w:val="009E5019"/>
    <w:rsid w:val="009E5259"/>
    <w:rsid w:val="009E5B08"/>
    <w:rsid w:val="009F0A8B"/>
    <w:rsid w:val="009F2CF0"/>
    <w:rsid w:val="009F4C3F"/>
    <w:rsid w:val="009F4C7F"/>
    <w:rsid w:val="00A04F1B"/>
    <w:rsid w:val="00A0501B"/>
    <w:rsid w:val="00A06A93"/>
    <w:rsid w:val="00A14947"/>
    <w:rsid w:val="00A1649B"/>
    <w:rsid w:val="00A16E95"/>
    <w:rsid w:val="00A204C1"/>
    <w:rsid w:val="00A23133"/>
    <w:rsid w:val="00A24319"/>
    <w:rsid w:val="00A26A02"/>
    <w:rsid w:val="00A32A83"/>
    <w:rsid w:val="00A3572B"/>
    <w:rsid w:val="00A367CF"/>
    <w:rsid w:val="00A368DB"/>
    <w:rsid w:val="00A36969"/>
    <w:rsid w:val="00A377D5"/>
    <w:rsid w:val="00A423AA"/>
    <w:rsid w:val="00A42851"/>
    <w:rsid w:val="00A4613F"/>
    <w:rsid w:val="00A46256"/>
    <w:rsid w:val="00A469E4"/>
    <w:rsid w:val="00A50969"/>
    <w:rsid w:val="00A53EC6"/>
    <w:rsid w:val="00A55C0F"/>
    <w:rsid w:val="00A575D7"/>
    <w:rsid w:val="00A64234"/>
    <w:rsid w:val="00A64DD9"/>
    <w:rsid w:val="00A65167"/>
    <w:rsid w:val="00A70D18"/>
    <w:rsid w:val="00A72685"/>
    <w:rsid w:val="00A74BCF"/>
    <w:rsid w:val="00A764EE"/>
    <w:rsid w:val="00A827C1"/>
    <w:rsid w:val="00A8326C"/>
    <w:rsid w:val="00A83A96"/>
    <w:rsid w:val="00A8460F"/>
    <w:rsid w:val="00A862C2"/>
    <w:rsid w:val="00A8713F"/>
    <w:rsid w:val="00A90BA1"/>
    <w:rsid w:val="00A92590"/>
    <w:rsid w:val="00A96F12"/>
    <w:rsid w:val="00A973CA"/>
    <w:rsid w:val="00A97A9A"/>
    <w:rsid w:val="00AA0671"/>
    <w:rsid w:val="00AA2531"/>
    <w:rsid w:val="00AA407E"/>
    <w:rsid w:val="00AA4862"/>
    <w:rsid w:val="00AB1E09"/>
    <w:rsid w:val="00AB2EA5"/>
    <w:rsid w:val="00AB5330"/>
    <w:rsid w:val="00AB71AD"/>
    <w:rsid w:val="00AB7747"/>
    <w:rsid w:val="00AB7F5B"/>
    <w:rsid w:val="00AC09E0"/>
    <w:rsid w:val="00AC14CE"/>
    <w:rsid w:val="00AC1A77"/>
    <w:rsid w:val="00AC223E"/>
    <w:rsid w:val="00AC2A56"/>
    <w:rsid w:val="00AC6B80"/>
    <w:rsid w:val="00AD055E"/>
    <w:rsid w:val="00AD163D"/>
    <w:rsid w:val="00AD32ED"/>
    <w:rsid w:val="00AD4524"/>
    <w:rsid w:val="00AD47A7"/>
    <w:rsid w:val="00AD644E"/>
    <w:rsid w:val="00AD7127"/>
    <w:rsid w:val="00AE0CA8"/>
    <w:rsid w:val="00AE1109"/>
    <w:rsid w:val="00AE40EB"/>
    <w:rsid w:val="00AE436C"/>
    <w:rsid w:val="00AE6559"/>
    <w:rsid w:val="00AF0CBF"/>
    <w:rsid w:val="00AF257F"/>
    <w:rsid w:val="00AF33CF"/>
    <w:rsid w:val="00AF4D50"/>
    <w:rsid w:val="00AF5AB6"/>
    <w:rsid w:val="00AF6179"/>
    <w:rsid w:val="00B05557"/>
    <w:rsid w:val="00B05662"/>
    <w:rsid w:val="00B109B8"/>
    <w:rsid w:val="00B11139"/>
    <w:rsid w:val="00B1295A"/>
    <w:rsid w:val="00B14C28"/>
    <w:rsid w:val="00B166A2"/>
    <w:rsid w:val="00B20A45"/>
    <w:rsid w:val="00B22661"/>
    <w:rsid w:val="00B22C3F"/>
    <w:rsid w:val="00B22C5C"/>
    <w:rsid w:val="00B23CA3"/>
    <w:rsid w:val="00B24F30"/>
    <w:rsid w:val="00B25000"/>
    <w:rsid w:val="00B312C0"/>
    <w:rsid w:val="00B31ABF"/>
    <w:rsid w:val="00B31C60"/>
    <w:rsid w:val="00B32B68"/>
    <w:rsid w:val="00B33BE3"/>
    <w:rsid w:val="00B35BCE"/>
    <w:rsid w:val="00B36820"/>
    <w:rsid w:val="00B36E79"/>
    <w:rsid w:val="00B37953"/>
    <w:rsid w:val="00B40BFE"/>
    <w:rsid w:val="00B40D12"/>
    <w:rsid w:val="00B44B08"/>
    <w:rsid w:val="00B464AF"/>
    <w:rsid w:val="00B5039E"/>
    <w:rsid w:val="00B51494"/>
    <w:rsid w:val="00B53841"/>
    <w:rsid w:val="00B53B5D"/>
    <w:rsid w:val="00B548AA"/>
    <w:rsid w:val="00B56E31"/>
    <w:rsid w:val="00B601A5"/>
    <w:rsid w:val="00B6055E"/>
    <w:rsid w:val="00B611BC"/>
    <w:rsid w:val="00B61DF1"/>
    <w:rsid w:val="00B6317D"/>
    <w:rsid w:val="00B639D1"/>
    <w:rsid w:val="00B65144"/>
    <w:rsid w:val="00B74138"/>
    <w:rsid w:val="00B74C36"/>
    <w:rsid w:val="00B7723F"/>
    <w:rsid w:val="00B80534"/>
    <w:rsid w:val="00B8433C"/>
    <w:rsid w:val="00B85DA5"/>
    <w:rsid w:val="00B862A5"/>
    <w:rsid w:val="00B87491"/>
    <w:rsid w:val="00B9058F"/>
    <w:rsid w:val="00B93F98"/>
    <w:rsid w:val="00B942D2"/>
    <w:rsid w:val="00B947DB"/>
    <w:rsid w:val="00B96260"/>
    <w:rsid w:val="00BA29E9"/>
    <w:rsid w:val="00BA7142"/>
    <w:rsid w:val="00BB237C"/>
    <w:rsid w:val="00BB41A3"/>
    <w:rsid w:val="00BC18BC"/>
    <w:rsid w:val="00BC32DC"/>
    <w:rsid w:val="00BC35B6"/>
    <w:rsid w:val="00BC4368"/>
    <w:rsid w:val="00BD08E6"/>
    <w:rsid w:val="00BD0C0A"/>
    <w:rsid w:val="00BD1058"/>
    <w:rsid w:val="00BD1271"/>
    <w:rsid w:val="00BD1B51"/>
    <w:rsid w:val="00BD4596"/>
    <w:rsid w:val="00BD522A"/>
    <w:rsid w:val="00BE139E"/>
    <w:rsid w:val="00BE1405"/>
    <w:rsid w:val="00BE16F8"/>
    <w:rsid w:val="00BE312D"/>
    <w:rsid w:val="00BE3FC2"/>
    <w:rsid w:val="00BF1C20"/>
    <w:rsid w:val="00BF2FA9"/>
    <w:rsid w:val="00BF4692"/>
    <w:rsid w:val="00BF4FF2"/>
    <w:rsid w:val="00C00338"/>
    <w:rsid w:val="00C0313E"/>
    <w:rsid w:val="00C04A2F"/>
    <w:rsid w:val="00C100A4"/>
    <w:rsid w:val="00C10578"/>
    <w:rsid w:val="00C10E65"/>
    <w:rsid w:val="00C135BC"/>
    <w:rsid w:val="00C15788"/>
    <w:rsid w:val="00C15C95"/>
    <w:rsid w:val="00C16BC3"/>
    <w:rsid w:val="00C16EA6"/>
    <w:rsid w:val="00C205EC"/>
    <w:rsid w:val="00C239DC"/>
    <w:rsid w:val="00C255ED"/>
    <w:rsid w:val="00C2596A"/>
    <w:rsid w:val="00C26A86"/>
    <w:rsid w:val="00C27537"/>
    <w:rsid w:val="00C31444"/>
    <w:rsid w:val="00C328FE"/>
    <w:rsid w:val="00C33507"/>
    <w:rsid w:val="00C35AB5"/>
    <w:rsid w:val="00C36820"/>
    <w:rsid w:val="00C42DC8"/>
    <w:rsid w:val="00C4409D"/>
    <w:rsid w:val="00C44E72"/>
    <w:rsid w:val="00C45A06"/>
    <w:rsid w:val="00C47E5B"/>
    <w:rsid w:val="00C50387"/>
    <w:rsid w:val="00C50C0A"/>
    <w:rsid w:val="00C5289A"/>
    <w:rsid w:val="00C52E09"/>
    <w:rsid w:val="00C60CF7"/>
    <w:rsid w:val="00C61548"/>
    <w:rsid w:val="00C61D5C"/>
    <w:rsid w:val="00C61E4B"/>
    <w:rsid w:val="00C64BFF"/>
    <w:rsid w:val="00C70435"/>
    <w:rsid w:val="00C704E9"/>
    <w:rsid w:val="00C708AB"/>
    <w:rsid w:val="00C71CB7"/>
    <w:rsid w:val="00C73FD8"/>
    <w:rsid w:val="00C746AE"/>
    <w:rsid w:val="00C752FD"/>
    <w:rsid w:val="00C75979"/>
    <w:rsid w:val="00C75BD0"/>
    <w:rsid w:val="00C762D0"/>
    <w:rsid w:val="00C763C9"/>
    <w:rsid w:val="00C80057"/>
    <w:rsid w:val="00C82232"/>
    <w:rsid w:val="00C82913"/>
    <w:rsid w:val="00C867D4"/>
    <w:rsid w:val="00C972B1"/>
    <w:rsid w:val="00C975EF"/>
    <w:rsid w:val="00CA2CCE"/>
    <w:rsid w:val="00CA3599"/>
    <w:rsid w:val="00CA43FD"/>
    <w:rsid w:val="00CA4EB3"/>
    <w:rsid w:val="00CA597E"/>
    <w:rsid w:val="00CA71A9"/>
    <w:rsid w:val="00CA7691"/>
    <w:rsid w:val="00CA7EF8"/>
    <w:rsid w:val="00CC44BF"/>
    <w:rsid w:val="00CC489B"/>
    <w:rsid w:val="00CD03CD"/>
    <w:rsid w:val="00CD2BCD"/>
    <w:rsid w:val="00CD357C"/>
    <w:rsid w:val="00CD3A4C"/>
    <w:rsid w:val="00CD4285"/>
    <w:rsid w:val="00CD5B01"/>
    <w:rsid w:val="00CE10E9"/>
    <w:rsid w:val="00CE2576"/>
    <w:rsid w:val="00CE2910"/>
    <w:rsid w:val="00CE5393"/>
    <w:rsid w:val="00CE5859"/>
    <w:rsid w:val="00CE634A"/>
    <w:rsid w:val="00CF2173"/>
    <w:rsid w:val="00CF26BB"/>
    <w:rsid w:val="00CF3356"/>
    <w:rsid w:val="00CF36BE"/>
    <w:rsid w:val="00CF6000"/>
    <w:rsid w:val="00CF76DE"/>
    <w:rsid w:val="00D003F3"/>
    <w:rsid w:val="00D02529"/>
    <w:rsid w:val="00D0364F"/>
    <w:rsid w:val="00D03CEA"/>
    <w:rsid w:val="00D067AF"/>
    <w:rsid w:val="00D06834"/>
    <w:rsid w:val="00D07B75"/>
    <w:rsid w:val="00D132F1"/>
    <w:rsid w:val="00D14044"/>
    <w:rsid w:val="00D16326"/>
    <w:rsid w:val="00D20014"/>
    <w:rsid w:val="00D2265F"/>
    <w:rsid w:val="00D246B0"/>
    <w:rsid w:val="00D25407"/>
    <w:rsid w:val="00D27F98"/>
    <w:rsid w:val="00D308ED"/>
    <w:rsid w:val="00D33B2E"/>
    <w:rsid w:val="00D33E20"/>
    <w:rsid w:val="00D34711"/>
    <w:rsid w:val="00D368D0"/>
    <w:rsid w:val="00D36D86"/>
    <w:rsid w:val="00D379E6"/>
    <w:rsid w:val="00D41033"/>
    <w:rsid w:val="00D428AA"/>
    <w:rsid w:val="00D43CAA"/>
    <w:rsid w:val="00D503C6"/>
    <w:rsid w:val="00D50A34"/>
    <w:rsid w:val="00D514DE"/>
    <w:rsid w:val="00D53698"/>
    <w:rsid w:val="00D53A07"/>
    <w:rsid w:val="00D53EFA"/>
    <w:rsid w:val="00D55D83"/>
    <w:rsid w:val="00D64165"/>
    <w:rsid w:val="00D65F9A"/>
    <w:rsid w:val="00D66680"/>
    <w:rsid w:val="00D66E3B"/>
    <w:rsid w:val="00D700A2"/>
    <w:rsid w:val="00D74C0A"/>
    <w:rsid w:val="00D760E6"/>
    <w:rsid w:val="00D77A1D"/>
    <w:rsid w:val="00D814C1"/>
    <w:rsid w:val="00D83D1B"/>
    <w:rsid w:val="00D8527A"/>
    <w:rsid w:val="00D87FC7"/>
    <w:rsid w:val="00D92EC1"/>
    <w:rsid w:val="00D931EE"/>
    <w:rsid w:val="00D939F5"/>
    <w:rsid w:val="00D942C0"/>
    <w:rsid w:val="00D94A7C"/>
    <w:rsid w:val="00D95896"/>
    <w:rsid w:val="00DA046B"/>
    <w:rsid w:val="00DA4110"/>
    <w:rsid w:val="00DA5541"/>
    <w:rsid w:val="00DB1061"/>
    <w:rsid w:val="00DB2983"/>
    <w:rsid w:val="00DB7BA0"/>
    <w:rsid w:val="00DC1257"/>
    <w:rsid w:val="00DC1E20"/>
    <w:rsid w:val="00DC3DC0"/>
    <w:rsid w:val="00DC5B2B"/>
    <w:rsid w:val="00DD17A9"/>
    <w:rsid w:val="00DD3035"/>
    <w:rsid w:val="00DD318D"/>
    <w:rsid w:val="00DD6A77"/>
    <w:rsid w:val="00DD6DF0"/>
    <w:rsid w:val="00DE322E"/>
    <w:rsid w:val="00DF217A"/>
    <w:rsid w:val="00DF2E12"/>
    <w:rsid w:val="00DF514A"/>
    <w:rsid w:val="00DF6690"/>
    <w:rsid w:val="00DF6804"/>
    <w:rsid w:val="00E001C1"/>
    <w:rsid w:val="00E019E2"/>
    <w:rsid w:val="00E022C9"/>
    <w:rsid w:val="00E02A33"/>
    <w:rsid w:val="00E0358D"/>
    <w:rsid w:val="00E04323"/>
    <w:rsid w:val="00E05F90"/>
    <w:rsid w:val="00E06D66"/>
    <w:rsid w:val="00E070A2"/>
    <w:rsid w:val="00E14089"/>
    <w:rsid w:val="00E14915"/>
    <w:rsid w:val="00E20BEF"/>
    <w:rsid w:val="00E211AC"/>
    <w:rsid w:val="00E23E10"/>
    <w:rsid w:val="00E24CD4"/>
    <w:rsid w:val="00E2656A"/>
    <w:rsid w:val="00E27C13"/>
    <w:rsid w:val="00E341BA"/>
    <w:rsid w:val="00E412D0"/>
    <w:rsid w:val="00E4190F"/>
    <w:rsid w:val="00E43DA2"/>
    <w:rsid w:val="00E44422"/>
    <w:rsid w:val="00E5016B"/>
    <w:rsid w:val="00E56322"/>
    <w:rsid w:val="00E60982"/>
    <w:rsid w:val="00E61D35"/>
    <w:rsid w:val="00E61DA5"/>
    <w:rsid w:val="00E62C62"/>
    <w:rsid w:val="00E63D24"/>
    <w:rsid w:val="00E649F4"/>
    <w:rsid w:val="00E654C1"/>
    <w:rsid w:val="00E65658"/>
    <w:rsid w:val="00E65D97"/>
    <w:rsid w:val="00E66E41"/>
    <w:rsid w:val="00E70FFA"/>
    <w:rsid w:val="00E72A5A"/>
    <w:rsid w:val="00E73354"/>
    <w:rsid w:val="00E83F76"/>
    <w:rsid w:val="00E84B35"/>
    <w:rsid w:val="00E85C1C"/>
    <w:rsid w:val="00E87EDE"/>
    <w:rsid w:val="00E907F1"/>
    <w:rsid w:val="00E90926"/>
    <w:rsid w:val="00E9242D"/>
    <w:rsid w:val="00E93724"/>
    <w:rsid w:val="00E97F4F"/>
    <w:rsid w:val="00EA0254"/>
    <w:rsid w:val="00EA3645"/>
    <w:rsid w:val="00EA4A29"/>
    <w:rsid w:val="00EA4B5E"/>
    <w:rsid w:val="00EA51AA"/>
    <w:rsid w:val="00EA5BEA"/>
    <w:rsid w:val="00EB21AC"/>
    <w:rsid w:val="00EB4D16"/>
    <w:rsid w:val="00EB4EFF"/>
    <w:rsid w:val="00EB5255"/>
    <w:rsid w:val="00EB5C47"/>
    <w:rsid w:val="00EB740C"/>
    <w:rsid w:val="00EC0D95"/>
    <w:rsid w:val="00EC37DF"/>
    <w:rsid w:val="00EC3D3D"/>
    <w:rsid w:val="00EC5C01"/>
    <w:rsid w:val="00EC6523"/>
    <w:rsid w:val="00ED0639"/>
    <w:rsid w:val="00ED1944"/>
    <w:rsid w:val="00EE0969"/>
    <w:rsid w:val="00EE66AF"/>
    <w:rsid w:val="00EF4661"/>
    <w:rsid w:val="00EF4755"/>
    <w:rsid w:val="00EF5912"/>
    <w:rsid w:val="00EF7135"/>
    <w:rsid w:val="00EF794A"/>
    <w:rsid w:val="00F007EB"/>
    <w:rsid w:val="00F025BB"/>
    <w:rsid w:val="00F027DB"/>
    <w:rsid w:val="00F044EB"/>
    <w:rsid w:val="00F04693"/>
    <w:rsid w:val="00F05D32"/>
    <w:rsid w:val="00F07B6D"/>
    <w:rsid w:val="00F119FA"/>
    <w:rsid w:val="00F136AD"/>
    <w:rsid w:val="00F13731"/>
    <w:rsid w:val="00F13838"/>
    <w:rsid w:val="00F14A7A"/>
    <w:rsid w:val="00F15610"/>
    <w:rsid w:val="00F22985"/>
    <w:rsid w:val="00F3383E"/>
    <w:rsid w:val="00F40392"/>
    <w:rsid w:val="00F43E48"/>
    <w:rsid w:val="00F44733"/>
    <w:rsid w:val="00F465A7"/>
    <w:rsid w:val="00F469E0"/>
    <w:rsid w:val="00F50A05"/>
    <w:rsid w:val="00F50B7C"/>
    <w:rsid w:val="00F50D1A"/>
    <w:rsid w:val="00F50E89"/>
    <w:rsid w:val="00F550E6"/>
    <w:rsid w:val="00F55CE8"/>
    <w:rsid w:val="00F55D45"/>
    <w:rsid w:val="00F614DC"/>
    <w:rsid w:val="00F72E67"/>
    <w:rsid w:val="00F73387"/>
    <w:rsid w:val="00F73EB6"/>
    <w:rsid w:val="00F74345"/>
    <w:rsid w:val="00F74856"/>
    <w:rsid w:val="00F7512F"/>
    <w:rsid w:val="00F77E2D"/>
    <w:rsid w:val="00F8079D"/>
    <w:rsid w:val="00F80A0A"/>
    <w:rsid w:val="00F816CE"/>
    <w:rsid w:val="00F826DF"/>
    <w:rsid w:val="00F828C1"/>
    <w:rsid w:val="00F82B19"/>
    <w:rsid w:val="00F836B8"/>
    <w:rsid w:val="00F868FB"/>
    <w:rsid w:val="00F90A17"/>
    <w:rsid w:val="00F9131B"/>
    <w:rsid w:val="00F9212D"/>
    <w:rsid w:val="00F93007"/>
    <w:rsid w:val="00F93D6B"/>
    <w:rsid w:val="00F965DA"/>
    <w:rsid w:val="00F972B8"/>
    <w:rsid w:val="00FA0643"/>
    <w:rsid w:val="00FA0F08"/>
    <w:rsid w:val="00FA2DE4"/>
    <w:rsid w:val="00FA406A"/>
    <w:rsid w:val="00FA453B"/>
    <w:rsid w:val="00FB503A"/>
    <w:rsid w:val="00FB516C"/>
    <w:rsid w:val="00FB63CF"/>
    <w:rsid w:val="00FB7FF4"/>
    <w:rsid w:val="00FC1A51"/>
    <w:rsid w:val="00FC1A8E"/>
    <w:rsid w:val="00FC5DA3"/>
    <w:rsid w:val="00FD0236"/>
    <w:rsid w:val="00FD14DA"/>
    <w:rsid w:val="00FD18F4"/>
    <w:rsid w:val="00FD4901"/>
    <w:rsid w:val="00FD54DB"/>
    <w:rsid w:val="00FD596F"/>
    <w:rsid w:val="00FD60D7"/>
    <w:rsid w:val="00FD619F"/>
    <w:rsid w:val="00FF0313"/>
    <w:rsid w:val="01290F7E"/>
    <w:rsid w:val="015D1E09"/>
    <w:rsid w:val="01BB63C7"/>
    <w:rsid w:val="02163CEE"/>
    <w:rsid w:val="023A109F"/>
    <w:rsid w:val="02697903"/>
    <w:rsid w:val="02F91D73"/>
    <w:rsid w:val="02F96569"/>
    <w:rsid w:val="030D3FBC"/>
    <w:rsid w:val="03EA7B21"/>
    <w:rsid w:val="047B0480"/>
    <w:rsid w:val="04E54F6E"/>
    <w:rsid w:val="05BF4587"/>
    <w:rsid w:val="05F83EAE"/>
    <w:rsid w:val="05F9301F"/>
    <w:rsid w:val="063E7D85"/>
    <w:rsid w:val="0681360C"/>
    <w:rsid w:val="06996F06"/>
    <w:rsid w:val="07293586"/>
    <w:rsid w:val="07295285"/>
    <w:rsid w:val="07636392"/>
    <w:rsid w:val="07770C56"/>
    <w:rsid w:val="077D7F4A"/>
    <w:rsid w:val="079D6868"/>
    <w:rsid w:val="07C33AA5"/>
    <w:rsid w:val="07F54FA5"/>
    <w:rsid w:val="081743A6"/>
    <w:rsid w:val="089D43F1"/>
    <w:rsid w:val="08BA0844"/>
    <w:rsid w:val="092217DD"/>
    <w:rsid w:val="092C2C95"/>
    <w:rsid w:val="093A7294"/>
    <w:rsid w:val="0A263993"/>
    <w:rsid w:val="0A2D3AC2"/>
    <w:rsid w:val="0A455357"/>
    <w:rsid w:val="0A7F3127"/>
    <w:rsid w:val="0AA755DF"/>
    <w:rsid w:val="0AE12395"/>
    <w:rsid w:val="0B120D44"/>
    <w:rsid w:val="0B1A381C"/>
    <w:rsid w:val="0B45010B"/>
    <w:rsid w:val="0B7252A2"/>
    <w:rsid w:val="0BA957A3"/>
    <w:rsid w:val="0BC576FE"/>
    <w:rsid w:val="0BCC3C1D"/>
    <w:rsid w:val="0BD27BF6"/>
    <w:rsid w:val="0BF84910"/>
    <w:rsid w:val="0C3B3C7D"/>
    <w:rsid w:val="0C80688C"/>
    <w:rsid w:val="0C8A2C23"/>
    <w:rsid w:val="0CAB2EAE"/>
    <w:rsid w:val="0CD51E5C"/>
    <w:rsid w:val="0D36374D"/>
    <w:rsid w:val="0D621C7D"/>
    <w:rsid w:val="0D8C49B4"/>
    <w:rsid w:val="0DDA54E4"/>
    <w:rsid w:val="0DF341D6"/>
    <w:rsid w:val="0E73034D"/>
    <w:rsid w:val="0EEC487F"/>
    <w:rsid w:val="0F13775A"/>
    <w:rsid w:val="0F5F45FE"/>
    <w:rsid w:val="0F9A112B"/>
    <w:rsid w:val="0F9B2475"/>
    <w:rsid w:val="0F9E3266"/>
    <w:rsid w:val="0FB13ED8"/>
    <w:rsid w:val="0FC5311B"/>
    <w:rsid w:val="0FC65D20"/>
    <w:rsid w:val="0FCB1589"/>
    <w:rsid w:val="0FE20680"/>
    <w:rsid w:val="10280C25"/>
    <w:rsid w:val="104C173E"/>
    <w:rsid w:val="106D2F64"/>
    <w:rsid w:val="108005C5"/>
    <w:rsid w:val="10B63710"/>
    <w:rsid w:val="10C009C2"/>
    <w:rsid w:val="10D73681"/>
    <w:rsid w:val="10F10820"/>
    <w:rsid w:val="111C2F7A"/>
    <w:rsid w:val="112E0E09"/>
    <w:rsid w:val="11316924"/>
    <w:rsid w:val="113D7E67"/>
    <w:rsid w:val="11665CA1"/>
    <w:rsid w:val="11D566EF"/>
    <w:rsid w:val="11DB356D"/>
    <w:rsid w:val="11E25004"/>
    <w:rsid w:val="11FA6155"/>
    <w:rsid w:val="124C3874"/>
    <w:rsid w:val="12C329EB"/>
    <w:rsid w:val="12DF76CD"/>
    <w:rsid w:val="13381EEE"/>
    <w:rsid w:val="13623155"/>
    <w:rsid w:val="1393060F"/>
    <w:rsid w:val="13951726"/>
    <w:rsid w:val="13C07831"/>
    <w:rsid w:val="13D1738A"/>
    <w:rsid w:val="141D1E71"/>
    <w:rsid w:val="14396509"/>
    <w:rsid w:val="14445DAD"/>
    <w:rsid w:val="14757D15"/>
    <w:rsid w:val="14B4218C"/>
    <w:rsid w:val="14DD2C3C"/>
    <w:rsid w:val="1570073A"/>
    <w:rsid w:val="15915815"/>
    <w:rsid w:val="16087E1D"/>
    <w:rsid w:val="16155629"/>
    <w:rsid w:val="167917CE"/>
    <w:rsid w:val="169F6688"/>
    <w:rsid w:val="16B15D8A"/>
    <w:rsid w:val="17435FAC"/>
    <w:rsid w:val="17701D14"/>
    <w:rsid w:val="17735226"/>
    <w:rsid w:val="17D336B6"/>
    <w:rsid w:val="17D565E9"/>
    <w:rsid w:val="18033A8D"/>
    <w:rsid w:val="18105FE3"/>
    <w:rsid w:val="189A7D2A"/>
    <w:rsid w:val="189F624C"/>
    <w:rsid w:val="18B34EE7"/>
    <w:rsid w:val="190A2855"/>
    <w:rsid w:val="191426BC"/>
    <w:rsid w:val="19153875"/>
    <w:rsid w:val="1918642F"/>
    <w:rsid w:val="195E521C"/>
    <w:rsid w:val="196138D0"/>
    <w:rsid w:val="19726F19"/>
    <w:rsid w:val="199B76BB"/>
    <w:rsid w:val="19CF0524"/>
    <w:rsid w:val="1A163D48"/>
    <w:rsid w:val="1A1C66C0"/>
    <w:rsid w:val="1A356162"/>
    <w:rsid w:val="1A42393B"/>
    <w:rsid w:val="1AA475A6"/>
    <w:rsid w:val="1AAD45DE"/>
    <w:rsid w:val="1AC77717"/>
    <w:rsid w:val="1B046F80"/>
    <w:rsid w:val="1B3267B5"/>
    <w:rsid w:val="1B391C23"/>
    <w:rsid w:val="1B40161D"/>
    <w:rsid w:val="1B441859"/>
    <w:rsid w:val="1B6606B1"/>
    <w:rsid w:val="1B6D5BEA"/>
    <w:rsid w:val="1C183DA8"/>
    <w:rsid w:val="1C5272D7"/>
    <w:rsid w:val="1C534D67"/>
    <w:rsid w:val="1C5E7925"/>
    <w:rsid w:val="1CC618B6"/>
    <w:rsid w:val="1CFD070F"/>
    <w:rsid w:val="1D08012C"/>
    <w:rsid w:val="1D5F6196"/>
    <w:rsid w:val="1D6132A5"/>
    <w:rsid w:val="1D7E1320"/>
    <w:rsid w:val="1D8C4115"/>
    <w:rsid w:val="1D8E56D5"/>
    <w:rsid w:val="1DC26D30"/>
    <w:rsid w:val="1DD9668B"/>
    <w:rsid w:val="1E0C793C"/>
    <w:rsid w:val="1E733517"/>
    <w:rsid w:val="1E7A43DA"/>
    <w:rsid w:val="1E852624"/>
    <w:rsid w:val="1EB855C6"/>
    <w:rsid w:val="1F29007A"/>
    <w:rsid w:val="1F5A66EA"/>
    <w:rsid w:val="1FE7539E"/>
    <w:rsid w:val="2013117C"/>
    <w:rsid w:val="205058CB"/>
    <w:rsid w:val="20601879"/>
    <w:rsid w:val="20671BE0"/>
    <w:rsid w:val="20963CB8"/>
    <w:rsid w:val="20A81A1B"/>
    <w:rsid w:val="20B07FB6"/>
    <w:rsid w:val="20B646FB"/>
    <w:rsid w:val="20BE5E90"/>
    <w:rsid w:val="213A031C"/>
    <w:rsid w:val="213B74B1"/>
    <w:rsid w:val="21455426"/>
    <w:rsid w:val="215A2310"/>
    <w:rsid w:val="216E53D9"/>
    <w:rsid w:val="217B27DC"/>
    <w:rsid w:val="217C0935"/>
    <w:rsid w:val="218275C9"/>
    <w:rsid w:val="21AB746C"/>
    <w:rsid w:val="21AD0AEE"/>
    <w:rsid w:val="21D70F28"/>
    <w:rsid w:val="21DE318A"/>
    <w:rsid w:val="21EF5B80"/>
    <w:rsid w:val="22576990"/>
    <w:rsid w:val="22604AE3"/>
    <w:rsid w:val="22E91FFA"/>
    <w:rsid w:val="22F11B15"/>
    <w:rsid w:val="22F47480"/>
    <w:rsid w:val="230456D8"/>
    <w:rsid w:val="23113827"/>
    <w:rsid w:val="234475F5"/>
    <w:rsid w:val="234E00AF"/>
    <w:rsid w:val="236F08DB"/>
    <w:rsid w:val="23CC63BC"/>
    <w:rsid w:val="23DE1C48"/>
    <w:rsid w:val="240210CD"/>
    <w:rsid w:val="241F4AA1"/>
    <w:rsid w:val="24497549"/>
    <w:rsid w:val="24693F5A"/>
    <w:rsid w:val="24B04D44"/>
    <w:rsid w:val="24BF09F7"/>
    <w:rsid w:val="252D53FE"/>
    <w:rsid w:val="259A04E1"/>
    <w:rsid w:val="25C12DBA"/>
    <w:rsid w:val="25EC2D81"/>
    <w:rsid w:val="25FC5929"/>
    <w:rsid w:val="26127ABA"/>
    <w:rsid w:val="26395046"/>
    <w:rsid w:val="26672398"/>
    <w:rsid w:val="2694227D"/>
    <w:rsid w:val="26C31BC9"/>
    <w:rsid w:val="26CF16FD"/>
    <w:rsid w:val="277057A2"/>
    <w:rsid w:val="279462AC"/>
    <w:rsid w:val="27AA6EB5"/>
    <w:rsid w:val="284460E4"/>
    <w:rsid w:val="28CA01D8"/>
    <w:rsid w:val="29206EB8"/>
    <w:rsid w:val="29595666"/>
    <w:rsid w:val="29874881"/>
    <w:rsid w:val="29E325E0"/>
    <w:rsid w:val="2A27590E"/>
    <w:rsid w:val="2A452503"/>
    <w:rsid w:val="2A6E3150"/>
    <w:rsid w:val="2A6F5654"/>
    <w:rsid w:val="2A970FA4"/>
    <w:rsid w:val="2B2B658A"/>
    <w:rsid w:val="2B3117D8"/>
    <w:rsid w:val="2B874B03"/>
    <w:rsid w:val="2BA936A8"/>
    <w:rsid w:val="2BAC7B2A"/>
    <w:rsid w:val="2BB169E8"/>
    <w:rsid w:val="2BDF496B"/>
    <w:rsid w:val="2C315A5A"/>
    <w:rsid w:val="2C4B1C25"/>
    <w:rsid w:val="2C545BD4"/>
    <w:rsid w:val="2C6A0470"/>
    <w:rsid w:val="2C8737A8"/>
    <w:rsid w:val="2CB800AB"/>
    <w:rsid w:val="2CBC00A7"/>
    <w:rsid w:val="2D8623AE"/>
    <w:rsid w:val="2D9E56F5"/>
    <w:rsid w:val="2DF35BC5"/>
    <w:rsid w:val="2E086271"/>
    <w:rsid w:val="2E4E18AB"/>
    <w:rsid w:val="2E667F96"/>
    <w:rsid w:val="2E8226AB"/>
    <w:rsid w:val="2E991DFC"/>
    <w:rsid w:val="2EDD4BB1"/>
    <w:rsid w:val="2F0E5ECE"/>
    <w:rsid w:val="2F3565C7"/>
    <w:rsid w:val="2F9C6646"/>
    <w:rsid w:val="2FA8789B"/>
    <w:rsid w:val="2FD065E6"/>
    <w:rsid w:val="2FD96870"/>
    <w:rsid w:val="30580BC9"/>
    <w:rsid w:val="30647164"/>
    <w:rsid w:val="30B97271"/>
    <w:rsid w:val="30D0209C"/>
    <w:rsid w:val="311E2ED7"/>
    <w:rsid w:val="3134034E"/>
    <w:rsid w:val="315619EE"/>
    <w:rsid w:val="315C449C"/>
    <w:rsid w:val="317E7E79"/>
    <w:rsid w:val="31B82709"/>
    <w:rsid w:val="31D05482"/>
    <w:rsid w:val="320A2489"/>
    <w:rsid w:val="32400B34"/>
    <w:rsid w:val="32537490"/>
    <w:rsid w:val="329E6876"/>
    <w:rsid w:val="333015F2"/>
    <w:rsid w:val="334119DE"/>
    <w:rsid w:val="334B6320"/>
    <w:rsid w:val="335800A3"/>
    <w:rsid w:val="338A3EF8"/>
    <w:rsid w:val="339C09C3"/>
    <w:rsid w:val="33C10F80"/>
    <w:rsid w:val="33D934D4"/>
    <w:rsid w:val="33EA41C9"/>
    <w:rsid w:val="33FE2F6A"/>
    <w:rsid w:val="340E07E5"/>
    <w:rsid w:val="34235BF7"/>
    <w:rsid w:val="34415A0C"/>
    <w:rsid w:val="348B70ED"/>
    <w:rsid w:val="34E571E0"/>
    <w:rsid w:val="351078BA"/>
    <w:rsid w:val="35571045"/>
    <w:rsid w:val="358C5FA8"/>
    <w:rsid w:val="35C15DF1"/>
    <w:rsid w:val="35C62FF6"/>
    <w:rsid w:val="36074A7F"/>
    <w:rsid w:val="36485113"/>
    <w:rsid w:val="36923549"/>
    <w:rsid w:val="369C70AA"/>
    <w:rsid w:val="36B75FBF"/>
    <w:rsid w:val="36BD0C45"/>
    <w:rsid w:val="37B82562"/>
    <w:rsid w:val="37E00298"/>
    <w:rsid w:val="37E003B1"/>
    <w:rsid w:val="385E093C"/>
    <w:rsid w:val="38602906"/>
    <w:rsid w:val="388F3AA5"/>
    <w:rsid w:val="38AB31E1"/>
    <w:rsid w:val="38B302F9"/>
    <w:rsid w:val="38BB4D8E"/>
    <w:rsid w:val="38F12CD3"/>
    <w:rsid w:val="38F94775"/>
    <w:rsid w:val="39071BCE"/>
    <w:rsid w:val="39077C38"/>
    <w:rsid w:val="392971ED"/>
    <w:rsid w:val="39325651"/>
    <w:rsid w:val="39D4535A"/>
    <w:rsid w:val="3A577D39"/>
    <w:rsid w:val="3A872856"/>
    <w:rsid w:val="3B0D1C2F"/>
    <w:rsid w:val="3B3763D1"/>
    <w:rsid w:val="3BA61514"/>
    <w:rsid w:val="3BAE642F"/>
    <w:rsid w:val="3C2F6E1E"/>
    <w:rsid w:val="3C3D7615"/>
    <w:rsid w:val="3C4D6CFE"/>
    <w:rsid w:val="3C4F64BA"/>
    <w:rsid w:val="3C7E335B"/>
    <w:rsid w:val="3C906C91"/>
    <w:rsid w:val="3CDA245A"/>
    <w:rsid w:val="3D1E06B7"/>
    <w:rsid w:val="3D51281E"/>
    <w:rsid w:val="3D76218F"/>
    <w:rsid w:val="3D8175A7"/>
    <w:rsid w:val="3D826E7B"/>
    <w:rsid w:val="3E6A003B"/>
    <w:rsid w:val="3EBB44AA"/>
    <w:rsid w:val="3ECA05B2"/>
    <w:rsid w:val="3EDA0523"/>
    <w:rsid w:val="3F2521B4"/>
    <w:rsid w:val="3F3B31CA"/>
    <w:rsid w:val="3F426C14"/>
    <w:rsid w:val="3F4646BD"/>
    <w:rsid w:val="3F7B51A0"/>
    <w:rsid w:val="3FCA14AA"/>
    <w:rsid w:val="40001BC1"/>
    <w:rsid w:val="407A6407"/>
    <w:rsid w:val="41083B3B"/>
    <w:rsid w:val="41DF489C"/>
    <w:rsid w:val="4200449D"/>
    <w:rsid w:val="423A3BCC"/>
    <w:rsid w:val="424E57D2"/>
    <w:rsid w:val="42950144"/>
    <w:rsid w:val="42B26C49"/>
    <w:rsid w:val="42CD2946"/>
    <w:rsid w:val="42DE2817"/>
    <w:rsid w:val="433A6FE6"/>
    <w:rsid w:val="433A7EF8"/>
    <w:rsid w:val="43480868"/>
    <w:rsid w:val="4350713C"/>
    <w:rsid w:val="436653E0"/>
    <w:rsid w:val="437B23A2"/>
    <w:rsid w:val="43953B3A"/>
    <w:rsid w:val="43C4431A"/>
    <w:rsid w:val="43E97C54"/>
    <w:rsid w:val="44B951CC"/>
    <w:rsid w:val="44CD14E0"/>
    <w:rsid w:val="44F20B0B"/>
    <w:rsid w:val="452E5F4C"/>
    <w:rsid w:val="454E6086"/>
    <w:rsid w:val="45612018"/>
    <w:rsid w:val="45776A11"/>
    <w:rsid w:val="458946E9"/>
    <w:rsid w:val="45A47C0E"/>
    <w:rsid w:val="45D54AA4"/>
    <w:rsid w:val="46577FD6"/>
    <w:rsid w:val="46A11BC9"/>
    <w:rsid w:val="46D955A7"/>
    <w:rsid w:val="47133957"/>
    <w:rsid w:val="47A07E0C"/>
    <w:rsid w:val="47F570E0"/>
    <w:rsid w:val="4805102B"/>
    <w:rsid w:val="48074B4D"/>
    <w:rsid w:val="48120F7F"/>
    <w:rsid w:val="48436FB5"/>
    <w:rsid w:val="4870272E"/>
    <w:rsid w:val="48D662CD"/>
    <w:rsid w:val="496B1FB0"/>
    <w:rsid w:val="49AA58D5"/>
    <w:rsid w:val="49DC7715"/>
    <w:rsid w:val="4A023139"/>
    <w:rsid w:val="4A062A6B"/>
    <w:rsid w:val="4A7B576F"/>
    <w:rsid w:val="4A934476"/>
    <w:rsid w:val="4AA735E3"/>
    <w:rsid w:val="4AF561A9"/>
    <w:rsid w:val="4B4551E3"/>
    <w:rsid w:val="4B992D4B"/>
    <w:rsid w:val="4C325F10"/>
    <w:rsid w:val="4C347D34"/>
    <w:rsid w:val="4C4A0649"/>
    <w:rsid w:val="4C523EBC"/>
    <w:rsid w:val="4C6454CA"/>
    <w:rsid w:val="4C687B84"/>
    <w:rsid w:val="4C7E5ECA"/>
    <w:rsid w:val="4C876AA5"/>
    <w:rsid w:val="4CAE004D"/>
    <w:rsid w:val="4CBB7CB4"/>
    <w:rsid w:val="4D0E00FB"/>
    <w:rsid w:val="4D176606"/>
    <w:rsid w:val="4D536AB8"/>
    <w:rsid w:val="4DA644C0"/>
    <w:rsid w:val="4DBF37D4"/>
    <w:rsid w:val="4DE37DDF"/>
    <w:rsid w:val="4DEC4FB0"/>
    <w:rsid w:val="4E075D8A"/>
    <w:rsid w:val="4E9C3B15"/>
    <w:rsid w:val="4EAD4BBB"/>
    <w:rsid w:val="4EC00FAD"/>
    <w:rsid w:val="4EF65C7C"/>
    <w:rsid w:val="4F115E11"/>
    <w:rsid w:val="4F9843DC"/>
    <w:rsid w:val="4FC62A8C"/>
    <w:rsid w:val="4FE20F0D"/>
    <w:rsid w:val="4FE51552"/>
    <w:rsid w:val="503C711B"/>
    <w:rsid w:val="50504C4B"/>
    <w:rsid w:val="50753227"/>
    <w:rsid w:val="509C6E7C"/>
    <w:rsid w:val="5162104E"/>
    <w:rsid w:val="519F7A66"/>
    <w:rsid w:val="525210BA"/>
    <w:rsid w:val="52707792"/>
    <w:rsid w:val="5392397B"/>
    <w:rsid w:val="53A039CC"/>
    <w:rsid w:val="53A1505A"/>
    <w:rsid w:val="53E4145A"/>
    <w:rsid w:val="53EE020A"/>
    <w:rsid w:val="54063E08"/>
    <w:rsid w:val="543437E8"/>
    <w:rsid w:val="54C35647"/>
    <w:rsid w:val="54C469F6"/>
    <w:rsid w:val="54F51ABE"/>
    <w:rsid w:val="54F73313"/>
    <w:rsid w:val="54F80955"/>
    <w:rsid w:val="555170A7"/>
    <w:rsid w:val="5587536D"/>
    <w:rsid w:val="55880C33"/>
    <w:rsid w:val="559B174B"/>
    <w:rsid w:val="55B70F21"/>
    <w:rsid w:val="55CE0CF4"/>
    <w:rsid w:val="5626792B"/>
    <w:rsid w:val="564E7DEA"/>
    <w:rsid w:val="567A0BDF"/>
    <w:rsid w:val="567D597C"/>
    <w:rsid w:val="56B22A9C"/>
    <w:rsid w:val="56D24578"/>
    <w:rsid w:val="56D57BC4"/>
    <w:rsid w:val="57154464"/>
    <w:rsid w:val="57B72A76"/>
    <w:rsid w:val="57C3426C"/>
    <w:rsid w:val="57CE1F93"/>
    <w:rsid w:val="57EA2C1E"/>
    <w:rsid w:val="57F8000E"/>
    <w:rsid w:val="58541821"/>
    <w:rsid w:val="588743D1"/>
    <w:rsid w:val="5887701A"/>
    <w:rsid w:val="58DD0855"/>
    <w:rsid w:val="590F0CEB"/>
    <w:rsid w:val="592941F7"/>
    <w:rsid w:val="5959786C"/>
    <w:rsid w:val="59982AA8"/>
    <w:rsid w:val="59C0439F"/>
    <w:rsid w:val="59D24080"/>
    <w:rsid w:val="59E441F9"/>
    <w:rsid w:val="5A0B1340"/>
    <w:rsid w:val="5A142217"/>
    <w:rsid w:val="5A3B7898"/>
    <w:rsid w:val="5AA4622B"/>
    <w:rsid w:val="5AAF59A9"/>
    <w:rsid w:val="5ABE2233"/>
    <w:rsid w:val="5AD25532"/>
    <w:rsid w:val="5ADB7851"/>
    <w:rsid w:val="5BDC2EC5"/>
    <w:rsid w:val="5BDD7DA5"/>
    <w:rsid w:val="5BDF5D95"/>
    <w:rsid w:val="5BF26FE5"/>
    <w:rsid w:val="5BFE7528"/>
    <w:rsid w:val="5C3330C8"/>
    <w:rsid w:val="5D015BB7"/>
    <w:rsid w:val="5D7373F5"/>
    <w:rsid w:val="5D8D744A"/>
    <w:rsid w:val="5DC3218F"/>
    <w:rsid w:val="5E0351C9"/>
    <w:rsid w:val="5E2467F1"/>
    <w:rsid w:val="5E315646"/>
    <w:rsid w:val="5E372554"/>
    <w:rsid w:val="5E9465B6"/>
    <w:rsid w:val="5ECC002E"/>
    <w:rsid w:val="5F1A2B43"/>
    <w:rsid w:val="5F8F595B"/>
    <w:rsid w:val="5FB837BB"/>
    <w:rsid w:val="5FE570CA"/>
    <w:rsid w:val="60477D84"/>
    <w:rsid w:val="604935E0"/>
    <w:rsid w:val="606177C6"/>
    <w:rsid w:val="60762418"/>
    <w:rsid w:val="60CC405A"/>
    <w:rsid w:val="614B38A4"/>
    <w:rsid w:val="61750921"/>
    <w:rsid w:val="61CC35A7"/>
    <w:rsid w:val="61E215D8"/>
    <w:rsid w:val="61E318A1"/>
    <w:rsid w:val="621B3775"/>
    <w:rsid w:val="6234582A"/>
    <w:rsid w:val="62361E5F"/>
    <w:rsid w:val="62364782"/>
    <w:rsid w:val="62426A55"/>
    <w:rsid w:val="625C73EB"/>
    <w:rsid w:val="6266314D"/>
    <w:rsid w:val="62CD720E"/>
    <w:rsid w:val="63232114"/>
    <w:rsid w:val="634E5BB5"/>
    <w:rsid w:val="6394356A"/>
    <w:rsid w:val="63C61B2C"/>
    <w:rsid w:val="63CD41A6"/>
    <w:rsid w:val="63D40BE9"/>
    <w:rsid w:val="63EB6C79"/>
    <w:rsid w:val="64102431"/>
    <w:rsid w:val="64410F8F"/>
    <w:rsid w:val="64444B9A"/>
    <w:rsid w:val="64A5243A"/>
    <w:rsid w:val="64F531DE"/>
    <w:rsid w:val="652579C5"/>
    <w:rsid w:val="65367D59"/>
    <w:rsid w:val="65373578"/>
    <w:rsid w:val="653A7EAA"/>
    <w:rsid w:val="65F02D51"/>
    <w:rsid w:val="6634340E"/>
    <w:rsid w:val="66466C96"/>
    <w:rsid w:val="66B20586"/>
    <w:rsid w:val="66BB0B84"/>
    <w:rsid w:val="66CB0B3C"/>
    <w:rsid w:val="66F54D49"/>
    <w:rsid w:val="671F124A"/>
    <w:rsid w:val="677A33C6"/>
    <w:rsid w:val="67A755AC"/>
    <w:rsid w:val="67EB2CC7"/>
    <w:rsid w:val="681F6961"/>
    <w:rsid w:val="682D7860"/>
    <w:rsid w:val="685E3353"/>
    <w:rsid w:val="68610A2F"/>
    <w:rsid w:val="68805514"/>
    <w:rsid w:val="6912766C"/>
    <w:rsid w:val="691B3B5C"/>
    <w:rsid w:val="69316E2F"/>
    <w:rsid w:val="69324B5A"/>
    <w:rsid w:val="694E2071"/>
    <w:rsid w:val="69662CB9"/>
    <w:rsid w:val="69766163"/>
    <w:rsid w:val="697A3B33"/>
    <w:rsid w:val="69D44760"/>
    <w:rsid w:val="69E97B6B"/>
    <w:rsid w:val="6A1A6C80"/>
    <w:rsid w:val="6A520EC7"/>
    <w:rsid w:val="6A8F4802"/>
    <w:rsid w:val="6AF87E20"/>
    <w:rsid w:val="6B322639"/>
    <w:rsid w:val="6BCA7AF9"/>
    <w:rsid w:val="6BE7241B"/>
    <w:rsid w:val="6C636C38"/>
    <w:rsid w:val="6C6D1B96"/>
    <w:rsid w:val="6CB71DEE"/>
    <w:rsid w:val="6D6A1D6A"/>
    <w:rsid w:val="6D800432"/>
    <w:rsid w:val="6D980EF7"/>
    <w:rsid w:val="6DB34098"/>
    <w:rsid w:val="6DB545B6"/>
    <w:rsid w:val="6DE02FB4"/>
    <w:rsid w:val="6E0D5999"/>
    <w:rsid w:val="6E514CED"/>
    <w:rsid w:val="6EB563D5"/>
    <w:rsid w:val="6ED667E1"/>
    <w:rsid w:val="6ED92677"/>
    <w:rsid w:val="6F225983"/>
    <w:rsid w:val="6F235519"/>
    <w:rsid w:val="6F3040D9"/>
    <w:rsid w:val="6F4849BB"/>
    <w:rsid w:val="6F7F5623"/>
    <w:rsid w:val="6F8713B0"/>
    <w:rsid w:val="6FFC5590"/>
    <w:rsid w:val="70252B1C"/>
    <w:rsid w:val="70450556"/>
    <w:rsid w:val="70586F55"/>
    <w:rsid w:val="706206A0"/>
    <w:rsid w:val="706D1DD0"/>
    <w:rsid w:val="70797283"/>
    <w:rsid w:val="70856B87"/>
    <w:rsid w:val="70D527EE"/>
    <w:rsid w:val="70DD3260"/>
    <w:rsid w:val="715A4658"/>
    <w:rsid w:val="715B5300"/>
    <w:rsid w:val="71923D07"/>
    <w:rsid w:val="71D13952"/>
    <w:rsid w:val="71D27F8A"/>
    <w:rsid w:val="71D92AF9"/>
    <w:rsid w:val="722D2527"/>
    <w:rsid w:val="72553024"/>
    <w:rsid w:val="7292053F"/>
    <w:rsid w:val="72EC2B34"/>
    <w:rsid w:val="72F66CF4"/>
    <w:rsid w:val="73122968"/>
    <w:rsid w:val="73133AF6"/>
    <w:rsid w:val="731F5D5E"/>
    <w:rsid w:val="736C4714"/>
    <w:rsid w:val="73C51AD5"/>
    <w:rsid w:val="741E793C"/>
    <w:rsid w:val="745E3944"/>
    <w:rsid w:val="746676B6"/>
    <w:rsid w:val="74A70BD1"/>
    <w:rsid w:val="750E6C6B"/>
    <w:rsid w:val="7635099D"/>
    <w:rsid w:val="763664BA"/>
    <w:rsid w:val="765A1916"/>
    <w:rsid w:val="76992564"/>
    <w:rsid w:val="769D738F"/>
    <w:rsid w:val="76EA2DC0"/>
    <w:rsid w:val="771C3AE2"/>
    <w:rsid w:val="773F4EBA"/>
    <w:rsid w:val="7755292F"/>
    <w:rsid w:val="77762421"/>
    <w:rsid w:val="77B56B1F"/>
    <w:rsid w:val="77C45E68"/>
    <w:rsid w:val="78003B51"/>
    <w:rsid w:val="780F09F4"/>
    <w:rsid w:val="7854778A"/>
    <w:rsid w:val="78A34C1B"/>
    <w:rsid w:val="78A90480"/>
    <w:rsid w:val="78C93CE2"/>
    <w:rsid w:val="793D26FF"/>
    <w:rsid w:val="79B57DD1"/>
    <w:rsid w:val="79CC40F6"/>
    <w:rsid w:val="7A232871"/>
    <w:rsid w:val="7A364017"/>
    <w:rsid w:val="7A8265E1"/>
    <w:rsid w:val="7B0F123B"/>
    <w:rsid w:val="7B686D42"/>
    <w:rsid w:val="7B841746"/>
    <w:rsid w:val="7BA82B1B"/>
    <w:rsid w:val="7BD9584C"/>
    <w:rsid w:val="7BE2675B"/>
    <w:rsid w:val="7C2F38B2"/>
    <w:rsid w:val="7C5E07C9"/>
    <w:rsid w:val="7C6C5AC7"/>
    <w:rsid w:val="7C883F7D"/>
    <w:rsid w:val="7C956FCE"/>
    <w:rsid w:val="7CA5557A"/>
    <w:rsid w:val="7CC6544B"/>
    <w:rsid w:val="7CC67312"/>
    <w:rsid w:val="7D0239FF"/>
    <w:rsid w:val="7D036989"/>
    <w:rsid w:val="7D0F532E"/>
    <w:rsid w:val="7D2B1E9D"/>
    <w:rsid w:val="7D5E40CD"/>
    <w:rsid w:val="7D7579C2"/>
    <w:rsid w:val="7DCD56F2"/>
    <w:rsid w:val="7DFE3170"/>
    <w:rsid w:val="7E03101A"/>
    <w:rsid w:val="7E160775"/>
    <w:rsid w:val="7E187729"/>
    <w:rsid w:val="7E2A0AD3"/>
    <w:rsid w:val="7E2B22C8"/>
    <w:rsid w:val="7E7F64E4"/>
    <w:rsid w:val="7EA10D63"/>
    <w:rsid w:val="7EA83C8C"/>
    <w:rsid w:val="7EAF2758"/>
    <w:rsid w:val="7EC8507D"/>
    <w:rsid w:val="7F001CE7"/>
    <w:rsid w:val="7F281225"/>
    <w:rsid w:val="7F4A4326"/>
    <w:rsid w:val="7F4D213E"/>
    <w:rsid w:val="7F597DC3"/>
    <w:rsid w:val="7F686F78"/>
    <w:rsid w:val="7F7B50C1"/>
    <w:rsid w:val="7F83107B"/>
    <w:rsid w:val="7F9966DE"/>
    <w:rsid w:val="7FD6320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qFormat="1"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43"/>
    <w:qFormat/>
    <w:locked/>
    <w:uiPriority w:val="0"/>
    <w:pPr>
      <w:keepNext/>
      <w:keepLines/>
      <w:tabs>
        <w:tab w:val="left" w:pos="0"/>
      </w:tabs>
      <w:adjustRightInd w:val="0"/>
      <w:snapToGrid w:val="0"/>
      <w:spacing w:line="360" w:lineRule="auto"/>
      <w:ind w:left="575" w:hanging="575"/>
      <w:jc w:val="left"/>
      <w:outlineLvl w:val="1"/>
    </w:pPr>
    <w:rPr>
      <w:rFonts w:eastAsia="黑体"/>
      <w:b/>
      <w:bCs/>
      <w:sz w:val="28"/>
      <w:szCs w:val="28"/>
    </w:rPr>
  </w:style>
  <w:style w:type="paragraph" w:styleId="6">
    <w:name w:val="heading 3"/>
    <w:basedOn w:val="1"/>
    <w:next w:val="1"/>
    <w:link w:val="44"/>
    <w:qFormat/>
    <w:locked/>
    <w:uiPriority w:val="0"/>
    <w:pPr>
      <w:keepNext/>
      <w:keepLines/>
      <w:tabs>
        <w:tab w:val="left" w:pos="0"/>
        <w:tab w:val="left" w:pos="420"/>
      </w:tabs>
      <w:adjustRightInd w:val="0"/>
      <w:snapToGrid w:val="0"/>
      <w:spacing w:line="360" w:lineRule="auto"/>
      <w:jc w:val="left"/>
      <w:outlineLvl w:val="2"/>
    </w:pPr>
    <w:rPr>
      <w:rFonts w:eastAsia="黑体"/>
      <w:b/>
      <w:bCs/>
      <w:sz w:val="24"/>
    </w:rPr>
  </w:style>
  <w:style w:type="paragraph" w:styleId="7">
    <w:name w:val="heading 4"/>
    <w:basedOn w:val="1"/>
    <w:next w:val="1"/>
    <w:link w:val="45"/>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link w:val="46"/>
    <w:qFormat/>
    <w:locked/>
    <w:uiPriority w:val="0"/>
    <w:pPr>
      <w:keepNext/>
      <w:keepLines/>
      <w:spacing w:before="280" w:after="290" w:line="376" w:lineRule="auto"/>
      <w:outlineLvl w:val="4"/>
    </w:pPr>
    <w:rPr>
      <w:b/>
      <w:bCs/>
      <w:sz w:val="28"/>
      <w:szCs w:val="28"/>
    </w:rPr>
  </w:style>
  <w:style w:type="paragraph" w:styleId="9">
    <w:name w:val="heading 7"/>
    <w:basedOn w:val="1"/>
    <w:next w:val="1"/>
    <w:link w:val="47"/>
    <w:qFormat/>
    <w:locked/>
    <w:uiPriority w:val="0"/>
    <w:pPr>
      <w:keepNext/>
      <w:keepLines/>
      <w:adjustRightInd w:val="0"/>
      <w:snapToGrid w:val="0"/>
      <w:spacing w:before="240" w:after="64" w:line="317" w:lineRule="auto"/>
      <w:ind w:left="1296"/>
      <w:jc w:val="left"/>
      <w:outlineLvl w:val="6"/>
    </w:pPr>
    <w:rPr>
      <w:b/>
      <w:sz w:val="24"/>
    </w:rPr>
  </w:style>
  <w:style w:type="paragraph" w:styleId="10">
    <w:name w:val="heading 8"/>
    <w:basedOn w:val="1"/>
    <w:next w:val="1"/>
    <w:link w:val="48"/>
    <w:qFormat/>
    <w:locked/>
    <w:uiPriority w:val="0"/>
    <w:pPr>
      <w:keepNext/>
      <w:keepLines/>
      <w:adjustRightInd w:val="0"/>
      <w:snapToGrid w:val="0"/>
      <w:spacing w:before="240" w:after="64" w:line="317" w:lineRule="auto"/>
      <w:ind w:left="1440"/>
      <w:jc w:val="left"/>
      <w:outlineLvl w:val="7"/>
    </w:pPr>
    <w:rPr>
      <w:rFonts w:ascii="Arial" w:hAnsi="Arial" w:eastAsia="黑体"/>
      <w:sz w:val="24"/>
    </w:rPr>
  </w:style>
  <w:style w:type="paragraph" w:styleId="11">
    <w:name w:val="heading 9"/>
    <w:basedOn w:val="1"/>
    <w:next w:val="1"/>
    <w:link w:val="49"/>
    <w:qFormat/>
    <w:locked/>
    <w:uiPriority w:val="0"/>
    <w:pPr>
      <w:keepNext/>
      <w:keepLines/>
      <w:adjustRightInd w:val="0"/>
      <w:snapToGrid w:val="0"/>
      <w:spacing w:before="240" w:after="64" w:line="317" w:lineRule="auto"/>
      <w:ind w:left="1583"/>
      <w:jc w:val="left"/>
      <w:outlineLvl w:val="8"/>
    </w:pPr>
    <w:rPr>
      <w:rFonts w:ascii="Arial" w:hAnsi="Arial" w:eastAsia="黑体"/>
    </w:rPr>
  </w:style>
  <w:style w:type="character" w:default="1" w:styleId="38">
    <w:name w:val="Default Paragraph Font"/>
    <w:unhideWhenUsed/>
    <w:qFormat/>
    <w:uiPriority w:val="1"/>
  </w:style>
  <w:style w:type="table" w:default="1" w:styleId="36">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basedOn w:val="3"/>
    <w:next w:val="1"/>
    <w:qFormat/>
    <w:uiPriority w:val="0"/>
    <w:pPr>
      <w:autoSpaceDE w:val="0"/>
      <w:autoSpaceDN w:val="0"/>
      <w:spacing w:line="240" w:lineRule="atLeast"/>
    </w:pPr>
    <w:rPr>
      <w:rFonts w:hAnsi="Calibri" w:cs="宋体"/>
      <w:color w:val="000000"/>
    </w:rPr>
  </w:style>
  <w:style w:type="paragraph" w:customStyle="1" w:styleId="3">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styleId="12">
    <w:name w:val="Normal Indent"/>
    <w:basedOn w:val="1"/>
    <w:qFormat/>
    <w:locked/>
    <w:uiPriority w:val="0"/>
    <w:pPr>
      <w:ind w:firstLine="420" w:firstLineChars="200"/>
    </w:pPr>
  </w:style>
  <w:style w:type="paragraph" w:styleId="13">
    <w:name w:val="annotation text"/>
    <w:basedOn w:val="1"/>
    <w:link w:val="50"/>
    <w:semiHidden/>
    <w:qFormat/>
    <w:uiPriority w:val="0"/>
    <w:pPr>
      <w:jc w:val="left"/>
    </w:pPr>
    <w:rPr>
      <w:kern w:val="0"/>
      <w:sz w:val="24"/>
      <w:szCs w:val="20"/>
    </w:rPr>
  </w:style>
  <w:style w:type="paragraph" w:styleId="14">
    <w:name w:val="Body Text 3"/>
    <w:basedOn w:val="1"/>
    <w:link w:val="51"/>
    <w:unhideWhenUsed/>
    <w:qFormat/>
    <w:locked/>
    <w:uiPriority w:val="0"/>
    <w:pPr>
      <w:spacing w:after="120"/>
    </w:pPr>
    <w:rPr>
      <w:sz w:val="16"/>
      <w:szCs w:val="16"/>
    </w:rPr>
  </w:style>
  <w:style w:type="paragraph" w:styleId="15">
    <w:name w:val="Body Text"/>
    <w:basedOn w:val="1"/>
    <w:next w:val="16"/>
    <w:link w:val="52"/>
    <w:qFormat/>
    <w:uiPriority w:val="0"/>
    <w:pPr>
      <w:widowControl/>
      <w:snapToGrid w:val="0"/>
      <w:spacing w:before="60" w:after="160" w:line="259" w:lineRule="auto"/>
      <w:ind w:right="113"/>
    </w:pPr>
    <w:rPr>
      <w:kern w:val="0"/>
      <w:sz w:val="18"/>
      <w:szCs w:val="20"/>
    </w:rPr>
  </w:style>
  <w:style w:type="paragraph" w:customStyle="1" w:styleId="16">
    <w:name w:val="Normal (Web)1"/>
    <w:basedOn w:val="1"/>
    <w:next w:val="17"/>
    <w:qFormat/>
    <w:uiPriority w:val="0"/>
    <w:pPr>
      <w:widowControl/>
      <w:jc w:val="left"/>
    </w:pPr>
    <w:rPr>
      <w:rFonts w:ascii="宋体"/>
      <w:kern w:val="0"/>
      <w:sz w:val="24"/>
      <w:szCs w:val="21"/>
    </w:rPr>
  </w:style>
  <w:style w:type="paragraph" w:customStyle="1" w:styleId="17">
    <w:name w:val="Date1"/>
    <w:basedOn w:val="1"/>
    <w:next w:val="1"/>
    <w:qFormat/>
    <w:uiPriority w:val="0"/>
    <w:pPr>
      <w:ind w:left="2500" w:leftChars="2500"/>
    </w:pPr>
  </w:style>
  <w:style w:type="paragraph" w:styleId="18">
    <w:name w:val="Body Text Indent"/>
    <w:basedOn w:val="1"/>
    <w:next w:val="19"/>
    <w:link w:val="53"/>
    <w:qFormat/>
    <w:uiPriority w:val="0"/>
    <w:pPr>
      <w:spacing w:after="120"/>
      <w:ind w:left="420" w:leftChars="200"/>
    </w:pPr>
    <w:rPr>
      <w:kern w:val="0"/>
      <w:sz w:val="24"/>
      <w:szCs w:val="20"/>
    </w:rPr>
  </w:style>
  <w:style w:type="paragraph" w:styleId="19">
    <w:name w:val="toc 9"/>
    <w:basedOn w:val="1"/>
    <w:next w:val="1"/>
    <w:qFormat/>
    <w:locked/>
    <w:uiPriority w:val="39"/>
    <w:pPr>
      <w:ind w:left="1680"/>
    </w:pPr>
    <w:rPr>
      <w:sz w:val="18"/>
    </w:rPr>
  </w:style>
  <w:style w:type="paragraph" w:styleId="20">
    <w:name w:val="Block Text"/>
    <w:basedOn w:val="1"/>
    <w:unhideWhenUsed/>
    <w:qFormat/>
    <w:locked/>
    <w:uiPriority w:val="0"/>
    <w:pPr>
      <w:adjustRightInd w:val="0"/>
      <w:spacing w:before="120" w:line="440" w:lineRule="exact"/>
      <w:ind w:left="284" w:right="284" w:firstLine="567"/>
    </w:pPr>
    <w:rPr>
      <w:rFonts w:ascii="楷体_GB2312" w:eastAsia="楷体_GB2312"/>
      <w:spacing w:val="-2"/>
      <w:kern w:val="0"/>
      <w:sz w:val="28"/>
      <w:szCs w:val="20"/>
    </w:rPr>
  </w:style>
  <w:style w:type="paragraph" w:styleId="21">
    <w:name w:val="Plain Text"/>
    <w:basedOn w:val="1"/>
    <w:qFormat/>
    <w:locked/>
    <w:uiPriority w:val="0"/>
    <w:rPr>
      <w:rFonts w:ascii="宋体" w:hAnsi="Courier New" w:eastAsia="仿宋_GB2312"/>
      <w:sz w:val="28"/>
      <w:szCs w:val="20"/>
    </w:rPr>
  </w:style>
  <w:style w:type="paragraph" w:styleId="22">
    <w:name w:val="Date"/>
    <w:basedOn w:val="1"/>
    <w:next w:val="1"/>
    <w:link w:val="54"/>
    <w:qFormat/>
    <w:uiPriority w:val="0"/>
    <w:pPr>
      <w:ind w:left="100" w:leftChars="2500"/>
    </w:pPr>
    <w:rPr>
      <w:kern w:val="0"/>
      <w:sz w:val="24"/>
      <w:szCs w:val="20"/>
    </w:rPr>
  </w:style>
  <w:style w:type="paragraph" w:styleId="23">
    <w:name w:val="Body Text Indent 2"/>
    <w:basedOn w:val="1"/>
    <w:link w:val="55"/>
    <w:qFormat/>
    <w:locked/>
    <w:uiPriority w:val="0"/>
    <w:pPr>
      <w:spacing w:after="120" w:line="480" w:lineRule="auto"/>
      <w:ind w:left="420" w:leftChars="200"/>
    </w:pPr>
  </w:style>
  <w:style w:type="paragraph" w:styleId="24">
    <w:name w:val="Balloon Text"/>
    <w:basedOn w:val="1"/>
    <w:link w:val="56"/>
    <w:semiHidden/>
    <w:qFormat/>
    <w:uiPriority w:val="0"/>
    <w:rPr>
      <w:kern w:val="0"/>
      <w:sz w:val="18"/>
      <w:szCs w:val="20"/>
    </w:rPr>
  </w:style>
  <w:style w:type="paragraph" w:styleId="25">
    <w:name w:val="footer"/>
    <w:basedOn w:val="1"/>
    <w:link w:val="57"/>
    <w:qFormat/>
    <w:uiPriority w:val="99"/>
    <w:pPr>
      <w:tabs>
        <w:tab w:val="center" w:pos="4153"/>
        <w:tab w:val="right" w:pos="8306"/>
      </w:tabs>
      <w:snapToGrid w:val="0"/>
      <w:jc w:val="left"/>
    </w:pPr>
    <w:rPr>
      <w:kern w:val="0"/>
      <w:sz w:val="18"/>
      <w:szCs w:val="20"/>
    </w:rPr>
  </w:style>
  <w:style w:type="paragraph" w:styleId="26">
    <w:name w:val="header"/>
    <w:basedOn w:val="1"/>
    <w:link w:val="58"/>
    <w:qFormat/>
    <w:uiPriority w:val="0"/>
    <w:pPr>
      <w:pBdr>
        <w:bottom w:val="single" w:color="auto" w:sz="6" w:space="1"/>
      </w:pBdr>
      <w:tabs>
        <w:tab w:val="center" w:pos="4153"/>
        <w:tab w:val="right" w:pos="8306"/>
      </w:tabs>
      <w:snapToGrid w:val="0"/>
      <w:jc w:val="center"/>
    </w:pPr>
    <w:rPr>
      <w:kern w:val="0"/>
      <w:sz w:val="18"/>
      <w:szCs w:val="20"/>
    </w:rPr>
  </w:style>
  <w:style w:type="paragraph" w:styleId="27">
    <w:name w:val="toc 1"/>
    <w:basedOn w:val="1"/>
    <w:next w:val="1"/>
    <w:qFormat/>
    <w:locked/>
    <w:uiPriority w:val="39"/>
  </w:style>
  <w:style w:type="paragraph" w:styleId="28">
    <w:name w:val="table of figures"/>
    <w:basedOn w:val="1"/>
    <w:next w:val="1"/>
    <w:qFormat/>
    <w:locked/>
    <w:uiPriority w:val="0"/>
    <w:pPr>
      <w:ind w:left="200" w:leftChars="200" w:hanging="200" w:hangingChars="200"/>
    </w:pPr>
    <w:rPr>
      <w:szCs w:val="20"/>
    </w:rPr>
  </w:style>
  <w:style w:type="paragraph" w:styleId="29">
    <w:name w:val="toc 2"/>
    <w:basedOn w:val="1"/>
    <w:next w:val="1"/>
    <w:unhideWhenUsed/>
    <w:qFormat/>
    <w:locked/>
    <w:uiPriority w:val="0"/>
    <w:pPr>
      <w:ind w:left="420" w:leftChars="200"/>
    </w:pPr>
  </w:style>
  <w:style w:type="paragraph" w:styleId="30">
    <w:name w:val="Body Text 2"/>
    <w:basedOn w:val="1"/>
    <w:link w:val="59"/>
    <w:qFormat/>
    <w:locked/>
    <w:uiPriority w:val="0"/>
    <w:pPr>
      <w:spacing w:after="120" w:line="480" w:lineRule="auto"/>
    </w:pPr>
  </w:style>
  <w:style w:type="paragraph" w:styleId="31">
    <w:name w:val="Normal (Web)"/>
    <w:basedOn w:val="1"/>
    <w:link w:val="60"/>
    <w:qFormat/>
    <w:uiPriority w:val="99"/>
    <w:pPr>
      <w:widowControl/>
      <w:spacing w:before="100" w:beforeAutospacing="1" w:after="100" w:afterAutospacing="1"/>
      <w:jc w:val="left"/>
    </w:pPr>
    <w:rPr>
      <w:rFonts w:ascii="宋体" w:hAnsi="宋体"/>
      <w:kern w:val="0"/>
      <w:sz w:val="24"/>
      <w:szCs w:val="20"/>
    </w:rPr>
  </w:style>
  <w:style w:type="paragraph" w:styleId="32">
    <w:name w:val="Title"/>
    <w:basedOn w:val="1"/>
    <w:next w:val="1"/>
    <w:qFormat/>
    <w:locked/>
    <w:uiPriority w:val="0"/>
    <w:pPr>
      <w:spacing w:before="240" w:after="60"/>
      <w:jc w:val="center"/>
      <w:outlineLvl w:val="0"/>
    </w:pPr>
    <w:rPr>
      <w:rFonts w:ascii="等线 Light" w:hAnsi="等线 Light"/>
      <w:b/>
      <w:bCs/>
      <w:sz w:val="32"/>
      <w:szCs w:val="32"/>
    </w:rPr>
  </w:style>
  <w:style w:type="paragraph" w:styleId="33">
    <w:name w:val="annotation subject"/>
    <w:basedOn w:val="13"/>
    <w:next w:val="13"/>
    <w:link w:val="61"/>
    <w:semiHidden/>
    <w:qFormat/>
    <w:uiPriority w:val="0"/>
    <w:rPr>
      <w:b/>
    </w:rPr>
  </w:style>
  <w:style w:type="paragraph" w:styleId="34">
    <w:name w:val="Body Text First Indent"/>
    <w:basedOn w:val="15"/>
    <w:next w:val="1"/>
    <w:qFormat/>
    <w:locked/>
    <w:uiPriority w:val="0"/>
    <w:pPr>
      <w:ind w:firstLine="420" w:firstLineChars="100"/>
    </w:pPr>
  </w:style>
  <w:style w:type="paragraph" w:styleId="35">
    <w:name w:val="Body Text First Indent 2"/>
    <w:basedOn w:val="18"/>
    <w:next w:val="1"/>
    <w:qFormat/>
    <w:locked/>
    <w:uiPriority w:val="0"/>
    <w:pPr>
      <w:ind w:firstLine="420" w:firstLineChars="200"/>
    </w:pPr>
    <w:rPr>
      <w:rFonts w:ascii="Calibri" w:hAnsi="Calibri" w:cs="Calibri"/>
      <w:kern w:val="2"/>
      <w:sz w:val="21"/>
      <w:szCs w:val="24"/>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9">
    <w:name w:val="page number"/>
    <w:qFormat/>
    <w:locked/>
    <w:uiPriority w:val="0"/>
  </w:style>
  <w:style w:type="character" w:styleId="40">
    <w:name w:val="FollowedHyperlink"/>
    <w:unhideWhenUsed/>
    <w:qFormat/>
    <w:locked/>
    <w:uiPriority w:val="99"/>
    <w:rPr>
      <w:color w:val="800080"/>
      <w:u w:val="single"/>
    </w:rPr>
  </w:style>
  <w:style w:type="character" w:styleId="41">
    <w:name w:val="Hyperlink"/>
    <w:unhideWhenUsed/>
    <w:qFormat/>
    <w:locked/>
    <w:uiPriority w:val="99"/>
    <w:rPr>
      <w:color w:val="0000FF"/>
      <w:u w:val="single"/>
    </w:rPr>
  </w:style>
  <w:style w:type="character" w:styleId="42">
    <w:name w:val="annotation reference"/>
    <w:qFormat/>
    <w:uiPriority w:val="0"/>
    <w:rPr>
      <w:sz w:val="21"/>
    </w:rPr>
  </w:style>
  <w:style w:type="character" w:customStyle="1" w:styleId="43">
    <w:name w:val="标题 2 字符"/>
    <w:link w:val="5"/>
    <w:qFormat/>
    <w:uiPriority w:val="0"/>
    <w:rPr>
      <w:rFonts w:eastAsia="黑体"/>
      <w:b/>
      <w:bCs/>
      <w:kern w:val="2"/>
      <w:sz w:val="28"/>
      <w:szCs w:val="28"/>
    </w:rPr>
  </w:style>
  <w:style w:type="character" w:customStyle="1" w:styleId="44">
    <w:name w:val="标题 3 字符"/>
    <w:link w:val="6"/>
    <w:qFormat/>
    <w:uiPriority w:val="0"/>
    <w:rPr>
      <w:rFonts w:eastAsia="黑体"/>
      <w:b/>
      <w:bCs/>
      <w:kern w:val="2"/>
      <w:sz w:val="24"/>
      <w:szCs w:val="24"/>
    </w:rPr>
  </w:style>
  <w:style w:type="character" w:customStyle="1" w:styleId="45">
    <w:name w:val="标题 4 字符"/>
    <w:link w:val="7"/>
    <w:semiHidden/>
    <w:qFormat/>
    <w:uiPriority w:val="0"/>
    <w:rPr>
      <w:rFonts w:ascii="等线 Light" w:hAnsi="等线 Light" w:eastAsia="等线 Light" w:cs="Times New Roman"/>
      <w:b/>
      <w:bCs/>
      <w:kern w:val="2"/>
      <w:sz w:val="28"/>
      <w:szCs w:val="28"/>
    </w:rPr>
  </w:style>
  <w:style w:type="character" w:customStyle="1" w:styleId="46">
    <w:name w:val="标题 5 字符"/>
    <w:link w:val="8"/>
    <w:semiHidden/>
    <w:qFormat/>
    <w:uiPriority w:val="0"/>
    <w:rPr>
      <w:b/>
      <w:bCs/>
      <w:kern w:val="2"/>
      <w:sz w:val="28"/>
      <w:szCs w:val="28"/>
    </w:rPr>
  </w:style>
  <w:style w:type="character" w:customStyle="1" w:styleId="47">
    <w:name w:val="标题 7 字符"/>
    <w:link w:val="9"/>
    <w:qFormat/>
    <w:uiPriority w:val="0"/>
    <w:rPr>
      <w:b/>
      <w:kern w:val="2"/>
      <w:sz w:val="24"/>
      <w:szCs w:val="24"/>
    </w:rPr>
  </w:style>
  <w:style w:type="character" w:customStyle="1" w:styleId="48">
    <w:name w:val="标题 8 字符"/>
    <w:link w:val="10"/>
    <w:qFormat/>
    <w:uiPriority w:val="0"/>
    <w:rPr>
      <w:rFonts w:ascii="Arial" w:hAnsi="Arial" w:eastAsia="黑体"/>
      <w:kern w:val="2"/>
      <w:sz w:val="24"/>
      <w:szCs w:val="24"/>
    </w:rPr>
  </w:style>
  <w:style w:type="character" w:customStyle="1" w:styleId="49">
    <w:name w:val="标题 9 字符"/>
    <w:link w:val="11"/>
    <w:qFormat/>
    <w:uiPriority w:val="0"/>
    <w:rPr>
      <w:rFonts w:ascii="Arial" w:hAnsi="Arial" w:eastAsia="黑体"/>
      <w:kern w:val="2"/>
      <w:sz w:val="21"/>
      <w:szCs w:val="24"/>
    </w:rPr>
  </w:style>
  <w:style w:type="character" w:customStyle="1" w:styleId="50">
    <w:name w:val="批注文字 字符"/>
    <w:link w:val="13"/>
    <w:qFormat/>
    <w:locked/>
    <w:uiPriority w:val="0"/>
    <w:rPr>
      <w:rFonts w:ascii="Times New Roman" w:hAnsi="Times New Roman" w:eastAsia="宋体"/>
      <w:sz w:val="24"/>
    </w:rPr>
  </w:style>
  <w:style w:type="character" w:customStyle="1" w:styleId="51">
    <w:name w:val="正文文本 3 字符1"/>
    <w:link w:val="14"/>
    <w:qFormat/>
    <w:uiPriority w:val="0"/>
    <w:rPr>
      <w:kern w:val="2"/>
      <w:sz w:val="16"/>
      <w:szCs w:val="16"/>
    </w:rPr>
  </w:style>
  <w:style w:type="character" w:customStyle="1" w:styleId="52">
    <w:name w:val="正文文本 字符"/>
    <w:link w:val="15"/>
    <w:qFormat/>
    <w:locked/>
    <w:uiPriority w:val="0"/>
    <w:rPr>
      <w:sz w:val="18"/>
    </w:rPr>
  </w:style>
  <w:style w:type="character" w:customStyle="1" w:styleId="53">
    <w:name w:val="正文文本缩进 字符"/>
    <w:link w:val="18"/>
    <w:semiHidden/>
    <w:qFormat/>
    <w:locked/>
    <w:uiPriority w:val="0"/>
    <w:rPr>
      <w:rFonts w:ascii="Times New Roman" w:hAnsi="Times New Roman" w:eastAsia="宋体"/>
      <w:sz w:val="24"/>
    </w:rPr>
  </w:style>
  <w:style w:type="character" w:customStyle="1" w:styleId="54">
    <w:name w:val="日期 字符1"/>
    <w:link w:val="22"/>
    <w:qFormat/>
    <w:locked/>
    <w:uiPriority w:val="0"/>
    <w:rPr>
      <w:rFonts w:ascii="Times New Roman" w:hAnsi="Times New Roman" w:eastAsia="宋体"/>
      <w:sz w:val="24"/>
    </w:rPr>
  </w:style>
  <w:style w:type="character" w:customStyle="1" w:styleId="55">
    <w:name w:val="正文文本缩进 2 字符"/>
    <w:link w:val="23"/>
    <w:qFormat/>
    <w:uiPriority w:val="0"/>
    <w:rPr>
      <w:kern w:val="2"/>
      <w:sz w:val="21"/>
      <w:szCs w:val="24"/>
    </w:rPr>
  </w:style>
  <w:style w:type="character" w:customStyle="1" w:styleId="56">
    <w:name w:val="批注框文本 字符"/>
    <w:link w:val="24"/>
    <w:semiHidden/>
    <w:qFormat/>
    <w:locked/>
    <w:uiPriority w:val="0"/>
    <w:rPr>
      <w:rFonts w:ascii="Times New Roman" w:hAnsi="Times New Roman" w:eastAsia="宋体"/>
      <w:sz w:val="18"/>
    </w:rPr>
  </w:style>
  <w:style w:type="character" w:customStyle="1" w:styleId="57">
    <w:name w:val="页脚 字符1"/>
    <w:link w:val="25"/>
    <w:qFormat/>
    <w:locked/>
    <w:uiPriority w:val="99"/>
    <w:rPr>
      <w:sz w:val="18"/>
    </w:rPr>
  </w:style>
  <w:style w:type="character" w:customStyle="1" w:styleId="58">
    <w:name w:val="页眉 字符"/>
    <w:link w:val="26"/>
    <w:qFormat/>
    <w:locked/>
    <w:uiPriority w:val="0"/>
    <w:rPr>
      <w:sz w:val="18"/>
    </w:rPr>
  </w:style>
  <w:style w:type="character" w:customStyle="1" w:styleId="59">
    <w:name w:val="正文文本 2 字符"/>
    <w:link w:val="30"/>
    <w:qFormat/>
    <w:uiPriority w:val="0"/>
    <w:rPr>
      <w:kern w:val="2"/>
      <w:sz w:val="21"/>
      <w:szCs w:val="24"/>
    </w:rPr>
  </w:style>
  <w:style w:type="character" w:customStyle="1" w:styleId="60">
    <w:name w:val="普通(网站) 字符"/>
    <w:link w:val="31"/>
    <w:qFormat/>
    <w:locked/>
    <w:uiPriority w:val="0"/>
    <w:rPr>
      <w:rFonts w:ascii="宋体" w:hAnsi="宋体" w:eastAsia="宋体"/>
      <w:sz w:val="24"/>
    </w:rPr>
  </w:style>
  <w:style w:type="character" w:customStyle="1" w:styleId="61">
    <w:name w:val="批注主题 字符"/>
    <w:link w:val="33"/>
    <w:semiHidden/>
    <w:qFormat/>
    <w:locked/>
    <w:uiPriority w:val="0"/>
    <w:rPr>
      <w:rFonts w:ascii="Times New Roman" w:hAnsi="Times New Roman" w:eastAsia="宋体"/>
      <w:b/>
      <w:kern w:val="2"/>
      <w:sz w:val="24"/>
    </w:rPr>
  </w:style>
  <w:style w:type="character" w:customStyle="1" w:styleId="62">
    <w:name w:val="bjh-p"/>
    <w:qFormat/>
    <w:uiPriority w:val="0"/>
  </w:style>
  <w:style w:type="character" w:customStyle="1" w:styleId="63">
    <w:name w:val="正文文本 字符1"/>
    <w:semiHidden/>
    <w:qFormat/>
    <w:uiPriority w:val="0"/>
    <w:rPr>
      <w:rFonts w:ascii="Times New Roman" w:hAnsi="Times New Roman" w:eastAsia="宋体"/>
      <w:sz w:val="24"/>
    </w:rPr>
  </w:style>
  <w:style w:type="character" w:customStyle="1" w:styleId="64">
    <w:name w:val="R-正文文本 Char"/>
    <w:link w:val="65"/>
    <w:qFormat/>
    <w:uiPriority w:val="4"/>
    <w:rPr>
      <w:rFonts w:ascii="Calibri" w:hAnsi="Calibri"/>
      <w:sz w:val="24"/>
    </w:rPr>
  </w:style>
  <w:style w:type="paragraph" w:customStyle="1" w:styleId="65">
    <w:name w:val="R-正文文本"/>
    <w:basedOn w:val="1"/>
    <w:link w:val="64"/>
    <w:qFormat/>
    <w:uiPriority w:val="4"/>
    <w:pPr>
      <w:widowControl/>
      <w:spacing w:line="360" w:lineRule="auto"/>
      <w:ind w:firstLine="200" w:firstLineChars="200"/>
    </w:pPr>
    <w:rPr>
      <w:rFonts w:ascii="Calibri" w:hAnsi="Calibri"/>
      <w:kern w:val="0"/>
      <w:sz w:val="24"/>
      <w:szCs w:val="20"/>
    </w:rPr>
  </w:style>
  <w:style w:type="character" w:customStyle="1" w:styleId="66">
    <w:name w:val="正文内容 Char Char"/>
    <w:link w:val="67"/>
    <w:qFormat/>
    <w:uiPriority w:val="0"/>
    <w:rPr>
      <w:rFonts w:cs="宋体"/>
      <w:kern w:val="2"/>
      <w:sz w:val="24"/>
    </w:rPr>
  </w:style>
  <w:style w:type="paragraph" w:customStyle="1" w:styleId="67">
    <w:name w:val="正文内容"/>
    <w:basedOn w:val="1"/>
    <w:link w:val="66"/>
    <w:qFormat/>
    <w:uiPriority w:val="0"/>
    <w:pPr>
      <w:spacing w:line="360" w:lineRule="auto"/>
      <w:ind w:firstLine="200" w:firstLineChars="200"/>
    </w:pPr>
    <w:rPr>
      <w:rFonts w:cs="宋体"/>
      <w:sz w:val="24"/>
      <w:szCs w:val="20"/>
    </w:rPr>
  </w:style>
  <w:style w:type="character" w:customStyle="1" w:styleId="68">
    <w:name w:val="表格 Char"/>
    <w:link w:val="69"/>
    <w:qFormat/>
    <w:locked/>
    <w:uiPriority w:val="0"/>
    <w:rPr>
      <w:rFonts w:ascii="宋体"/>
      <w:sz w:val="21"/>
    </w:rPr>
  </w:style>
  <w:style w:type="paragraph" w:customStyle="1" w:styleId="69">
    <w:name w:val="表格"/>
    <w:basedOn w:val="1"/>
    <w:next w:val="1"/>
    <w:link w:val="68"/>
    <w:qFormat/>
    <w:uiPriority w:val="0"/>
    <w:pPr>
      <w:adjustRightInd w:val="0"/>
      <w:snapToGrid w:val="0"/>
      <w:spacing w:beforeLines="10" w:afterLines="10" w:line="259" w:lineRule="auto"/>
      <w:jc w:val="center"/>
    </w:pPr>
    <w:rPr>
      <w:rFonts w:ascii="宋体"/>
      <w:kern w:val="0"/>
      <w:szCs w:val="20"/>
    </w:rPr>
  </w:style>
  <w:style w:type="character" w:customStyle="1" w:styleId="70">
    <w:name w:val="1兴业正文 Char"/>
    <w:link w:val="71"/>
    <w:qFormat/>
    <w:uiPriority w:val="0"/>
  </w:style>
  <w:style w:type="paragraph" w:customStyle="1" w:styleId="71">
    <w:name w:val="1兴业正文"/>
    <w:basedOn w:val="1"/>
    <w:link w:val="70"/>
    <w:qFormat/>
    <w:uiPriority w:val="0"/>
    <w:pPr>
      <w:adjustRightInd w:val="0"/>
      <w:snapToGrid w:val="0"/>
      <w:spacing w:line="360" w:lineRule="auto"/>
      <w:ind w:firstLine="420" w:firstLineChars="200"/>
    </w:pPr>
    <w:rPr>
      <w:kern w:val="0"/>
      <w:sz w:val="20"/>
      <w:szCs w:val="20"/>
    </w:rPr>
  </w:style>
  <w:style w:type="character" w:customStyle="1" w:styleId="72">
    <w:name w:val="表头（书） Char"/>
    <w:link w:val="73"/>
    <w:qFormat/>
    <w:uiPriority w:val="0"/>
    <w:rPr>
      <w:b/>
      <w:bCs/>
      <w:kern w:val="2"/>
      <w:sz w:val="24"/>
      <w:szCs w:val="24"/>
    </w:rPr>
  </w:style>
  <w:style w:type="paragraph" w:customStyle="1" w:styleId="73">
    <w:name w:val="表头（书）"/>
    <w:basedOn w:val="8"/>
    <w:next w:val="1"/>
    <w:link w:val="72"/>
    <w:qFormat/>
    <w:uiPriority w:val="0"/>
    <w:pPr>
      <w:tabs>
        <w:tab w:val="left" w:pos="2268"/>
      </w:tabs>
      <w:adjustRightInd w:val="0"/>
      <w:snapToGrid w:val="0"/>
      <w:spacing w:before="0" w:after="0" w:line="240" w:lineRule="auto"/>
      <w:jc w:val="center"/>
    </w:pPr>
    <w:rPr>
      <w:sz w:val="24"/>
      <w:szCs w:val="24"/>
    </w:rPr>
  </w:style>
  <w:style w:type="character" w:customStyle="1" w:styleId="74">
    <w:name w:val="日期 字符"/>
    <w:semiHidden/>
    <w:qFormat/>
    <w:uiPriority w:val="0"/>
    <w:rPr>
      <w:rFonts w:ascii="Times New Roman" w:hAnsi="Times New Roman" w:eastAsia="宋体"/>
      <w:sz w:val="24"/>
    </w:rPr>
  </w:style>
  <w:style w:type="character" w:customStyle="1" w:styleId="75">
    <w:name w:val="页脚 字符"/>
    <w:qFormat/>
    <w:uiPriority w:val="99"/>
  </w:style>
  <w:style w:type="character" w:customStyle="1" w:styleId="76">
    <w:name w:val="批注文字 字符1"/>
    <w:semiHidden/>
    <w:qFormat/>
    <w:uiPriority w:val="0"/>
    <w:rPr>
      <w:rFonts w:ascii="Times New Roman" w:hAnsi="Times New Roman" w:eastAsia="宋体"/>
      <w:sz w:val="24"/>
    </w:rPr>
  </w:style>
  <w:style w:type="character" w:customStyle="1" w:styleId="77">
    <w:name w:val="R-表中文字 Char"/>
    <w:link w:val="78"/>
    <w:qFormat/>
    <w:uiPriority w:val="6"/>
    <w:rPr>
      <w:rFonts w:ascii="Calibri" w:hAnsi="Calibri"/>
      <w:kern w:val="2"/>
      <w:sz w:val="21"/>
      <w:szCs w:val="21"/>
    </w:rPr>
  </w:style>
  <w:style w:type="paragraph" w:customStyle="1" w:styleId="78">
    <w:name w:val="R-表中文字"/>
    <w:basedOn w:val="1"/>
    <w:link w:val="77"/>
    <w:qFormat/>
    <w:uiPriority w:val="6"/>
    <w:pPr>
      <w:widowControl/>
      <w:jc w:val="center"/>
    </w:pPr>
    <w:rPr>
      <w:rFonts w:ascii="Calibri" w:hAnsi="Calibri"/>
      <w:szCs w:val="21"/>
    </w:rPr>
  </w:style>
  <w:style w:type="character" w:customStyle="1" w:styleId="79">
    <w:name w:val="报告书正文 Char Char"/>
    <w:link w:val="80"/>
    <w:qFormat/>
    <w:locked/>
    <w:uiPriority w:val="0"/>
    <w:rPr>
      <w:sz w:val="24"/>
      <w:szCs w:val="28"/>
    </w:rPr>
  </w:style>
  <w:style w:type="paragraph" w:customStyle="1" w:styleId="80">
    <w:name w:val="报告书正文"/>
    <w:basedOn w:val="1"/>
    <w:link w:val="79"/>
    <w:qFormat/>
    <w:uiPriority w:val="0"/>
    <w:pPr>
      <w:adjustRightInd w:val="0"/>
      <w:snapToGrid w:val="0"/>
      <w:spacing w:line="360" w:lineRule="auto"/>
      <w:ind w:firstLine="480" w:firstLineChars="200"/>
      <w:jc w:val="left"/>
    </w:pPr>
    <w:rPr>
      <w:kern w:val="0"/>
      <w:sz w:val="24"/>
      <w:szCs w:val="28"/>
    </w:rPr>
  </w:style>
  <w:style w:type="character" w:customStyle="1" w:styleId="81">
    <w:name w:val="博士论文正文 Char2"/>
    <w:link w:val="82"/>
    <w:qFormat/>
    <w:uiPriority w:val="0"/>
    <w:rPr>
      <w:rFonts w:ascii="宋体"/>
      <w:sz w:val="24"/>
      <w:szCs w:val="22"/>
    </w:rPr>
  </w:style>
  <w:style w:type="paragraph" w:customStyle="1" w:styleId="82">
    <w:name w:val="博士论文正文"/>
    <w:basedOn w:val="1"/>
    <w:link w:val="81"/>
    <w:qFormat/>
    <w:uiPriority w:val="0"/>
    <w:pPr>
      <w:snapToGrid w:val="0"/>
      <w:spacing w:beforeLines="20" w:line="360" w:lineRule="auto"/>
      <w:ind w:firstLine="200" w:firstLineChars="200"/>
      <w:contextualSpacing/>
    </w:pPr>
    <w:rPr>
      <w:rFonts w:ascii="宋体"/>
      <w:kern w:val="0"/>
      <w:sz w:val="24"/>
      <w:szCs w:val="22"/>
    </w:rPr>
  </w:style>
  <w:style w:type="character" w:customStyle="1" w:styleId="83">
    <w:name w:val="白城富达钢铁项目正文 Char Char"/>
    <w:link w:val="84"/>
    <w:qFormat/>
    <w:uiPriority w:val="0"/>
    <w:rPr>
      <w:color w:val="000000"/>
      <w:sz w:val="21"/>
      <w:szCs w:val="24"/>
    </w:rPr>
  </w:style>
  <w:style w:type="paragraph" w:customStyle="1" w:styleId="84">
    <w:name w:val="报告正文"/>
    <w:basedOn w:val="1"/>
    <w:link w:val="83"/>
    <w:qFormat/>
    <w:uiPriority w:val="0"/>
    <w:pPr>
      <w:tabs>
        <w:tab w:val="left" w:pos="0"/>
      </w:tabs>
      <w:adjustRightInd w:val="0"/>
      <w:snapToGrid w:val="0"/>
    </w:pPr>
    <w:rPr>
      <w:color w:val="000000"/>
      <w:kern w:val="0"/>
    </w:rPr>
  </w:style>
  <w:style w:type="character" w:customStyle="1" w:styleId="85">
    <w:name w:val="表格 字符"/>
    <w:qFormat/>
    <w:locked/>
    <w:uiPriority w:val="0"/>
    <w:rPr>
      <w:rFonts w:ascii="仿宋_GB2312" w:hAnsi="Times New Roman" w:eastAsia="仿宋_GB2312" w:cs="Times New Roman"/>
      <w:bCs/>
      <w:color w:val="000000"/>
      <w:kern w:val="0"/>
      <w:sz w:val="21"/>
      <w:szCs w:val="21"/>
    </w:rPr>
  </w:style>
  <w:style w:type="character" w:customStyle="1" w:styleId="86">
    <w:name w:val="2兴业表格 Char"/>
    <w:link w:val="87"/>
    <w:qFormat/>
    <w:uiPriority w:val="0"/>
    <w:rPr>
      <w:sz w:val="21"/>
      <w:szCs w:val="21"/>
    </w:rPr>
  </w:style>
  <w:style w:type="paragraph" w:customStyle="1" w:styleId="87">
    <w:name w:val="2兴业表格"/>
    <w:basedOn w:val="1"/>
    <w:link w:val="86"/>
    <w:qFormat/>
    <w:uiPriority w:val="0"/>
    <w:pPr>
      <w:adjustRightInd w:val="0"/>
      <w:snapToGrid w:val="0"/>
      <w:jc w:val="center"/>
    </w:pPr>
    <w:rPr>
      <w:kern w:val="0"/>
      <w:szCs w:val="21"/>
    </w:rPr>
  </w:style>
  <w:style w:type="character" w:customStyle="1" w:styleId="88">
    <w:name w:val="fontstyle01"/>
    <w:qFormat/>
    <w:uiPriority w:val="0"/>
    <w:rPr>
      <w:rFonts w:ascii="仿宋" w:hAnsi="仿宋" w:eastAsia="仿宋" w:cs="仿宋"/>
      <w:color w:val="000000"/>
      <w:sz w:val="30"/>
      <w:szCs w:val="30"/>
    </w:rPr>
  </w:style>
  <w:style w:type="paragraph" w:customStyle="1" w:styleId="89">
    <w:name w:val="表头"/>
    <w:basedOn w:val="90"/>
    <w:next w:val="21"/>
    <w:qFormat/>
    <w:uiPriority w:val="0"/>
    <w:pPr>
      <w:spacing w:before="156" w:beforeLines="50" w:line="360" w:lineRule="exact"/>
    </w:pPr>
    <w:rPr>
      <w:rFonts w:cs="宋体"/>
      <w:b/>
      <w:bCs/>
      <w:sz w:val="28"/>
    </w:rPr>
  </w:style>
  <w:style w:type="paragraph" w:customStyle="1" w:styleId="90">
    <w:name w:val="样式4"/>
    <w:basedOn w:val="1"/>
    <w:qFormat/>
    <w:uiPriority w:val="0"/>
    <w:pPr>
      <w:adjustRightInd w:val="0"/>
      <w:snapToGrid w:val="0"/>
      <w:jc w:val="center"/>
    </w:pPr>
    <w:rPr>
      <w:sz w:val="24"/>
      <w:szCs w:val="20"/>
    </w:rPr>
  </w:style>
  <w:style w:type="paragraph" w:customStyle="1" w:styleId="91">
    <w:name w:val="于小涵 书 表头"/>
    <w:basedOn w:val="8"/>
    <w:next w:val="1"/>
    <w:qFormat/>
    <w:uiPriority w:val="0"/>
    <w:pPr>
      <w:tabs>
        <w:tab w:val="left" w:pos="2693"/>
        <w:tab w:val="left" w:pos="3260"/>
        <w:tab w:val="left" w:pos="4110"/>
      </w:tabs>
      <w:adjustRightInd w:val="0"/>
      <w:snapToGrid w:val="0"/>
      <w:spacing w:before="0" w:after="0" w:line="240" w:lineRule="auto"/>
      <w:jc w:val="center"/>
    </w:pPr>
    <w:rPr>
      <w:sz w:val="24"/>
      <w:szCs w:val="24"/>
    </w:rPr>
  </w:style>
  <w:style w:type="paragraph" w:customStyle="1" w:styleId="9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3">
    <w:name w:val="正文格式"/>
    <w:basedOn w:val="1"/>
    <w:next w:val="1"/>
    <w:qFormat/>
    <w:uiPriority w:val="0"/>
    <w:pPr>
      <w:adjustRightInd w:val="0"/>
      <w:snapToGrid w:val="0"/>
      <w:spacing w:line="360" w:lineRule="auto"/>
      <w:ind w:firstLine="482" w:firstLineChars="200"/>
      <w:jc w:val="left"/>
    </w:pPr>
    <w:rPr>
      <w:sz w:val="24"/>
    </w:rPr>
  </w:style>
  <w:style w:type="paragraph" w:customStyle="1" w:styleId="94">
    <w:name w:val="3兴业表格标题"/>
    <w:basedOn w:val="1"/>
    <w:qFormat/>
    <w:uiPriority w:val="0"/>
    <w:pPr>
      <w:adjustRightInd w:val="0"/>
      <w:snapToGrid w:val="0"/>
      <w:jc w:val="center"/>
    </w:pPr>
    <w:rPr>
      <w:rFonts w:eastAsia="仿宋" w:cs="Arial"/>
      <w:b/>
      <w:sz w:val="24"/>
    </w:rPr>
  </w:style>
  <w:style w:type="paragraph" w:customStyle="1" w:styleId="95">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9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7">
    <w:name w:val="表头（表） Char"/>
    <w:link w:val="98"/>
    <w:qFormat/>
    <w:uiPriority w:val="0"/>
    <w:rPr>
      <w:b/>
      <w:sz w:val="24"/>
    </w:rPr>
  </w:style>
  <w:style w:type="paragraph" w:customStyle="1" w:styleId="98">
    <w:name w:val="表头（表）"/>
    <w:basedOn w:val="1"/>
    <w:link w:val="97"/>
    <w:qFormat/>
    <w:uiPriority w:val="0"/>
    <w:pPr>
      <w:tabs>
        <w:tab w:val="left" w:pos="0"/>
      </w:tabs>
      <w:jc w:val="center"/>
    </w:pPr>
    <w:rPr>
      <w:b/>
      <w:kern w:val="0"/>
      <w:sz w:val="24"/>
      <w:szCs w:val="20"/>
    </w:rPr>
  </w:style>
  <w:style w:type="character" w:customStyle="1" w:styleId="99">
    <w:name w:val="正文文本 3 字符"/>
    <w:qFormat/>
    <w:uiPriority w:val="0"/>
    <w:rPr>
      <w:kern w:val="2"/>
      <w:sz w:val="16"/>
      <w:szCs w:val="16"/>
    </w:rPr>
  </w:style>
  <w:style w:type="paragraph" w:customStyle="1" w:styleId="100">
    <w:name w:val="xl3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1">
    <w:name w:val="bgb表头"/>
    <w:basedOn w:val="1"/>
    <w:next w:val="1"/>
    <w:qFormat/>
    <w:uiPriority w:val="0"/>
    <w:pPr>
      <w:adjustRightInd w:val="0"/>
      <w:snapToGrid w:val="0"/>
      <w:spacing w:line="480" w:lineRule="exact"/>
      <w:contextualSpacing/>
      <w:jc w:val="center"/>
    </w:pPr>
    <w:rPr>
      <w:color w:val="000000"/>
      <w:kern w:val="0"/>
      <w:sz w:val="24"/>
      <w:szCs w:val="21"/>
    </w:rPr>
  </w:style>
  <w:style w:type="character" w:customStyle="1" w:styleId="102">
    <w:name w:val="表格标题 Char"/>
    <w:link w:val="103"/>
    <w:qFormat/>
    <w:uiPriority w:val="0"/>
    <w:rPr>
      <w:rFonts w:eastAsia="黑体"/>
      <w:kern w:val="2"/>
      <w:sz w:val="24"/>
      <w:szCs w:val="24"/>
    </w:rPr>
  </w:style>
  <w:style w:type="paragraph" w:customStyle="1" w:styleId="103">
    <w:name w:val="表格标题"/>
    <w:basedOn w:val="1"/>
    <w:next w:val="1"/>
    <w:link w:val="102"/>
    <w:qFormat/>
    <w:uiPriority w:val="0"/>
    <w:pPr>
      <w:spacing w:beforeLines="50" w:afterLines="50" w:line="440" w:lineRule="exact"/>
      <w:jc w:val="left"/>
    </w:pPr>
    <w:rPr>
      <w:rFonts w:eastAsia="黑体"/>
      <w:sz w:val="24"/>
    </w:rPr>
  </w:style>
  <w:style w:type="paragraph" w:customStyle="1" w:styleId="104">
    <w:name w:val="图名"/>
    <w:basedOn w:val="1"/>
    <w:qFormat/>
    <w:uiPriority w:val="0"/>
    <w:pPr>
      <w:spacing w:line="300" w:lineRule="auto"/>
      <w:ind w:firstLine="482" w:firstLineChars="200"/>
      <w:jc w:val="center"/>
    </w:pPr>
    <w:rPr>
      <w:rFonts w:ascii="宋体" w:hAnsi="宋体" w:cs="宋体"/>
      <w:b/>
      <w:bCs/>
      <w:kern w:val="0"/>
      <w:sz w:val="24"/>
      <w:szCs w:val="20"/>
    </w:rPr>
  </w:style>
  <w:style w:type="paragraph" w:customStyle="1" w:styleId="105">
    <w:name w:val="表内文字"/>
    <w:qFormat/>
    <w:uiPriority w:val="0"/>
    <w:pPr>
      <w:spacing w:line="300" w:lineRule="auto"/>
      <w:ind w:firstLine="200" w:firstLineChars="200"/>
      <w:jc w:val="both"/>
    </w:pPr>
    <w:rPr>
      <w:rFonts w:ascii="Times New Roman" w:hAnsi="Times New Roman" w:eastAsia="宋体" w:cs="Times New Roman"/>
      <w:color w:val="000000"/>
      <w:sz w:val="21"/>
      <w:lang w:val="en-US" w:eastAsia="zh-CN" w:bidi="ar-SA"/>
    </w:rPr>
  </w:style>
  <w:style w:type="paragraph" w:customStyle="1" w:styleId="106">
    <w:name w:val="Table Text"/>
    <w:basedOn w:val="1"/>
    <w:semiHidden/>
    <w:qFormat/>
    <w:uiPriority w:val="0"/>
    <w:rPr>
      <w:rFonts w:ascii="宋体" w:hAnsi="宋体" w:cs="宋体"/>
      <w:sz w:val="24"/>
      <w:lang w:eastAsia="en-US"/>
    </w:rPr>
  </w:style>
  <w:style w:type="table" w:customStyle="1" w:styleId="107">
    <w:name w:val="Table Normal"/>
    <w:unhideWhenUsed/>
    <w:qFormat/>
    <w:uiPriority w:val="0"/>
    <w:tblPr>
      <w:tblLayout w:type="fixed"/>
      <w:tblCellMar>
        <w:top w:w="0" w:type="dxa"/>
        <w:left w:w="0" w:type="dxa"/>
        <w:bottom w:w="0" w:type="dxa"/>
        <w:right w:w="0" w:type="dxa"/>
      </w:tblCellMar>
    </w:tblPr>
  </w:style>
  <w:style w:type="paragraph" w:customStyle="1" w:styleId="108">
    <w:name w:val="Char"/>
    <w:basedOn w:val="1"/>
    <w:qFormat/>
    <w:uiPriority w:val="0"/>
    <w:pPr>
      <w:adjustRightInd w:val="0"/>
      <w:spacing w:line="360" w:lineRule="auto"/>
    </w:pPr>
    <w:rPr>
      <w:kern w:val="0"/>
      <w:sz w:val="24"/>
      <w:szCs w:val="20"/>
    </w:rPr>
  </w:style>
  <w:style w:type="paragraph" w:customStyle="1" w:styleId="109">
    <w:name w:val="表格内容格式"/>
    <w:basedOn w:val="1"/>
    <w:qFormat/>
    <w:uiPriority w:val="0"/>
    <w:pPr>
      <w:adjustRightInd w:val="0"/>
      <w:jc w:val="center"/>
      <w:textAlignment w:val="baseline"/>
    </w:pPr>
    <w:rPr>
      <w:rFonts w:ascii="宋体" w:hAnsi="宋体"/>
      <w:snapToGrid w:val="0"/>
      <w:color w:val="000000"/>
      <w:kern w:val="0"/>
      <w:sz w:val="18"/>
      <w:szCs w:val="18"/>
    </w:rPr>
  </w:style>
  <w:style w:type="paragraph" w:customStyle="1" w:styleId="110">
    <w:name w:val="正文(首行缩进)"/>
    <w:basedOn w:val="1"/>
    <w:qFormat/>
    <w:uiPriority w:val="0"/>
    <w:pPr>
      <w:spacing w:line="300" w:lineRule="auto"/>
      <w:ind w:firstLine="200" w:firstLineChars="200"/>
    </w:pPr>
    <w:rPr>
      <w:snapToGrid w:val="0"/>
      <w:color w:val="000000"/>
      <w:kern w:val="0"/>
      <w:sz w:val="24"/>
    </w:rPr>
  </w:style>
  <w:style w:type="paragraph" w:customStyle="1" w:styleId="111">
    <w:name w:val="01正文"/>
    <w:basedOn w:val="1"/>
    <w:qFormat/>
    <w:uiPriority w:val="0"/>
    <w:pPr>
      <w:adjustRightInd w:val="0"/>
      <w:snapToGrid w:val="0"/>
      <w:ind w:firstLine="200" w:firstLineChars="200"/>
    </w:pPr>
    <w:rPr>
      <w:color w:val="3333FF"/>
    </w:rPr>
  </w:style>
  <w:style w:type="table" w:customStyle="1" w:styleId="112">
    <w:name w:val="表格式4"/>
    <w:basedOn w:val="36"/>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3">
    <w:name w:val="TOC 标题2"/>
    <w:basedOn w:val="4"/>
    <w:next w:val="1"/>
    <w:unhideWhenUsed/>
    <w:qFormat/>
    <w:uiPriority w:val="39"/>
    <w:pPr>
      <w:keepLines/>
      <w:widowControl/>
      <w:overflowPunct/>
      <w:snapToGrid/>
      <w:spacing w:before="240" w:after="0"/>
      <w:ind w:left="0" w:firstLine="0"/>
      <w:jc w:val="left"/>
      <w:outlineLvl w:val="9"/>
    </w:pPr>
    <w:rPr>
      <w:rFonts w:ascii="Cambria" w:hAnsi="Cambria" w:eastAsia="宋体"/>
      <w:b w:val="0"/>
      <w:bCs w:val="0"/>
      <w:color w:val="366091"/>
      <w:kern w:val="0"/>
      <w:sz w:val="32"/>
      <w:szCs w:val="32"/>
    </w:rPr>
  </w:style>
  <w:style w:type="paragraph" w:customStyle="1" w:styleId="114">
    <w:name w:val="_Style 109"/>
    <w:unhideWhenUsed/>
    <w:qFormat/>
    <w:uiPriority w:val="99"/>
    <w:rPr>
      <w:rFonts w:ascii="Times New Roman" w:hAnsi="Times New Roman" w:eastAsia="宋体" w:cs="Times New Roman"/>
      <w:kern w:val="2"/>
      <w:sz w:val="21"/>
      <w:szCs w:val="24"/>
      <w:lang w:val="en-US" w:eastAsia="zh-CN" w:bidi="ar-SA"/>
    </w:rPr>
  </w:style>
  <w:style w:type="paragraph" w:customStyle="1" w:styleId="115">
    <w:name w:val="Table Paragraph"/>
    <w:qFormat/>
    <w:uiPriority w:val="0"/>
    <w:pPr>
      <w:widowControl w:val="0"/>
      <w:autoSpaceDE w:val="0"/>
      <w:autoSpaceDN w:val="0"/>
      <w:jc w:val="center"/>
    </w:pPr>
    <w:rPr>
      <w:rFonts w:ascii="仿宋" w:hAnsi="仿宋" w:eastAsia="仿宋" w:cs="仿宋"/>
      <w:sz w:val="22"/>
      <w:szCs w:val="22"/>
      <w:lang w:val="zh-CN" w:eastAsia="zh-CN" w:bidi="ar-SA"/>
    </w:rPr>
  </w:style>
  <w:style w:type="paragraph" w:customStyle="1" w:styleId="116">
    <w:name w:val="11111"/>
    <w:basedOn w:val="1"/>
    <w:next w:val="1"/>
    <w:qFormat/>
    <w:uiPriority w:val="99"/>
    <w:pPr>
      <w:spacing w:line="360" w:lineRule="auto"/>
      <w:ind w:firstLine="200" w:firstLineChars="200"/>
    </w:pPr>
    <w:rPr>
      <w:rFonts w:ascii="宋体" w:hAnsi="宋体" w:cs="宋体"/>
      <w:sz w:val="24"/>
    </w:rPr>
  </w:style>
  <w:style w:type="paragraph" w:customStyle="1" w:styleId="117">
    <w:name w:val="【表头】"/>
    <w:basedOn w:val="118"/>
    <w:qFormat/>
    <w:uiPriority w:val="0"/>
    <w:pPr>
      <w:adjustRightInd w:val="0"/>
      <w:jc w:val="center"/>
    </w:pPr>
    <w:rPr>
      <w:rFonts w:ascii="Times New Roman" w:eastAsia="黑体"/>
      <w:sz w:val="24"/>
    </w:rPr>
  </w:style>
  <w:style w:type="paragraph" w:customStyle="1" w:styleId="118">
    <w:name w:val="0"/>
    <w:basedOn w:val="1"/>
    <w:qFormat/>
    <w:uiPriority w:val="99"/>
    <w:pPr>
      <w:widowControl/>
      <w:snapToGrid w:val="0"/>
      <w:jc w:val="left"/>
    </w:pPr>
    <w:rPr>
      <w:rFonts w:ascii="宋体"/>
      <w:kern w:val="0"/>
      <w:sz w:val="20"/>
      <w:szCs w:val="20"/>
    </w:rPr>
  </w:style>
  <w:style w:type="paragraph" w:customStyle="1" w:styleId="119">
    <w:name w:val="正文00"/>
    <w:basedOn w:val="1"/>
    <w:next w:val="120"/>
    <w:qFormat/>
    <w:uiPriority w:val="0"/>
    <w:pPr>
      <w:widowControl/>
      <w:spacing w:line="425" w:lineRule="atLeast"/>
      <w:ind w:left="107" w:leftChars="51" w:right="124" w:rightChars="59" w:firstLine="480"/>
      <w:textAlignment w:val="baseline"/>
    </w:pPr>
    <w:rPr>
      <w:kern w:val="0"/>
      <w:sz w:val="28"/>
      <w:u w:color="000000"/>
    </w:rPr>
  </w:style>
  <w:style w:type="paragraph" w:customStyle="1" w:styleId="120">
    <w:name w:val="样式 Times New Roman 五号 居中1"/>
    <w:basedOn w:val="1"/>
    <w:next w:val="89"/>
    <w:qFormat/>
    <w:uiPriority w:val="99"/>
    <w:pPr>
      <w:jc w:val="center"/>
    </w:pPr>
    <w:rPr>
      <w:rFonts w:cs="宋体"/>
      <w:szCs w:val="21"/>
    </w:rPr>
  </w:style>
  <w:style w:type="paragraph" w:customStyle="1" w:styleId="121">
    <w:name w:val="0表格文字"/>
    <w:basedOn w:val="122"/>
    <w:next w:val="122"/>
    <w:qFormat/>
    <w:uiPriority w:val="0"/>
    <w:pPr>
      <w:topLinePunct/>
      <w:spacing w:line="240" w:lineRule="auto"/>
      <w:ind w:firstLine="0" w:firstLineChars="0"/>
      <w:jc w:val="center"/>
    </w:pPr>
    <w:rPr>
      <w:rFonts w:cs="宋体"/>
      <w:szCs w:val="21"/>
    </w:rPr>
  </w:style>
  <w:style w:type="paragraph" w:customStyle="1" w:styleId="122">
    <w:name w:val="00通用正文"/>
    <w:basedOn w:val="1"/>
    <w:qFormat/>
    <w:uiPriority w:val="0"/>
    <w:pPr>
      <w:wordWrap w:val="0"/>
      <w:spacing w:line="360" w:lineRule="auto"/>
      <w:ind w:firstLine="420" w:firstLineChars="200"/>
      <w:jc w:val="left"/>
    </w:pPr>
    <w:rPr>
      <w:rFonts w:cstheme="minorBidi"/>
      <w:color w:val="000000"/>
    </w:rPr>
  </w:style>
  <w:style w:type="paragraph" w:customStyle="1" w:styleId="123">
    <w:name w:val="表中文字（工大）"/>
    <w:basedOn w:val="1"/>
    <w:qFormat/>
    <w:uiPriority w:val="0"/>
    <w:pPr>
      <w:spacing w:line="400" w:lineRule="exact"/>
      <w:jc w:val="center"/>
    </w:pPr>
    <w:rPr>
      <w:szCs w:val="20"/>
    </w:rPr>
  </w:style>
  <w:style w:type="paragraph" w:customStyle="1" w:styleId="124">
    <w:name w:val="Char Char Char Char Char Char Char2"/>
    <w:basedOn w:val="1"/>
    <w:qFormat/>
    <w:uiPriority w:val="0"/>
    <w:pPr>
      <w:snapToGrid w:val="0"/>
      <w:spacing w:line="360" w:lineRule="auto"/>
      <w:ind w:firstLine="529" w:firstLineChars="200"/>
    </w:pPr>
  </w:style>
  <w:style w:type="paragraph" w:customStyle="1" w:styleId="125">
    <w:name w:val="表格中文字"/>
    <w:basedOn w:val="1"/>
    <w:qFormat/>
    <w:uiPriority w:val="0"/>
    <w:pPr>
      <w:adjustRightInd w:val="0"/>
      <w:snapToGrid w:val="0"/>
      <w:spacing w:line="360" w:lineRule="exact"/>
      <w:jc w:val="center"/>
    </w:pPr>
    <w:rPr>
      <w:rFonts w:ascii="宋体" w:hAnsi="Calibri"/>
      <w:color w:val="000000"/>
      <w:kern w:val="0"/>
      <w:szCs w:val="21"/>
    </w:rPr>
  </w:style>
  <w:style w:type="paragraph" w:customStyle="1" w:styleId="126">
    <w:name w:val="表格文字"/>
    <w:basedOn w:val="15"/>
    <w:qFormat/>
    <w:uiPriority w:val="0"/>
    <w:pPr>
      <w:spacing w:after="0" w:line="460" w:lineRule="exact"/>
      <w:jc w:val="center"/>
    </w:pPr>
    <w:rPr>
      <w:rFonts w:eastAsia="楷体_GB2312"/>
      <w:sz w:val="24"/>
    </w:rPr>
  </w:style>
  <w:style w:type="paragraph" w:customStyle="1" w:styleId="127">
    <w:name w:val="【表中文字】"/>
    <w:basedOn w:val="128"/>
    <w:qFormat/>
    <w:uiPriority w:val="0"/>
    <w:pPr>
      <w:adjustRightInd w:val="0"/>
      <w:snapToGrid w:val="0"/>
      <w:jc w:val="center"/>
    </w:pPr>
    <w:rPr>
      <w:szCs w:val="20"/>
    </w:rPr>
  </w:style>
  <w:style w:type="paragraph" w:customStyle="1" w:styleId="128">
    <w:name w:val=".表1-1-1内容"/>
    <w:basedOn w:val="1"/>
    <w:qFormat/>
    <w:uiPriority w:val="0"/>
    <w:pPr>
      <w:spacing w:line="300" w:lineRule="exact"/>
      <w:jc w:val="center"/>
    </w:pPr>
    <w:rPr>
      <w:kern w:val="0"/>
      <w:szCs w:val="21"/>
    </w:rPr>
  </w:style>
  <w:style w:type="paragraph" w:customStyle="1" w:styleId="129">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130">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0"/>
    </w:rPr>
  </w:style>
  <w:style w:type="paragraph" w:customStyle="1" w:styleId="131">
    <w:name w:val="样式 正文首行缩进 + 首行缩进:  2 字符1"/>
    <w:basedOn w:val="1"/>
    <w:next w:val="27"/>
    <w:qFormat/>
    <w:uiPriority w:val="0"/>
    <w:pPr>
      <w:spacing w:line="360" w:lineRule="auto"/>
      <w:ind w:firstLine="480" w:firstLineChars="200"/>
    </w:pPr>
    <w:rPr>
      <w:sz w:val="24"/>
    </w:rPr>
  </w:style>
  <w:style w:type="paragraph" w:customStyle="1" w:styleId="132">
    <w:name w:val="a正文"/>
    <w:basedOn w:val="93"/>
    <w:qFormat/>
    <w:uiPriority w:val="0"/>
    <w:pPr>
      <w:spacing w:line="520" w:lineRule="exact"/>
      <w:ind w:firstLine="200"/>
    </w:pPr>
  </w:style>
  <w:style w:type="paragraph" w:customStyle="1" w:styleId="133">
    <w:name w:val="正文1"/>
    <w:next w:v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34">
    <w:name w:val="【正文】"/>
    <w:basedOn w:val="1"/>
    <w:qFormat/>
    <w:uiPriority w:val="0"/>
    <w:pPr>
      <w:spacing w:line="520" w:lineRule="exact"/>
      <w:ind w:firstLine="200" w:firstLineChars="200"/>
    </w:pPr>
    <w:rPr>
      <w:sz w:val="24"/>
    </w:rPr>
  </w:style>
  <w:style w:type="paragraph" w:customStyle="1" w:styleId="135">
    <w:name w:val="表格填充项"/>
    <w:basedOn w:val="1"/>
    <w:qFormat/>
    <w:uiPriority w:val="0"/>
    <w:pPr>
      <w:spacing w:line="240" w:lineRule="atLeast"/>
      <w:jc w:val="center"/>
    </w:pPr>
    <w:rPr>
      <w:rFonts w:ascii="宋体" w:hAnsi="宋体"/>
      <w:b/>
    </w:rPr>
  </w:style>
  <w:style w:type="paragraph" w:customStyle="1" w:styleId="136">
    <w:name w:val="表格2"/>
    <w:basedOn w:val="1"/>
    <w:next w:val="1"/>
    <w:qFormat/>
    <w:uiPriority w:val="0"/>
    <w:pPr>
      <w:spacing w:line="400" w:lineRule="atLeast"/>
      <w:jc w:val="center"/>
    </w:pPr>
    <w:rPr>
      <w:szCs w:val="20"/>
    </w:rPr>
  </w:style>
  <w:style w:type="character" w:customStyle="1" w:styleId="137">
    <w:name w:val="正文文本 (2) Exact"/>
    <w:basedOn w:val="138"/>
    <w:unhideWhenUsed/>
    <w:qFormat/>
    <w:uiPriority w:val="99"/>
    <w:rPr>
      <w:rFonts w:hint="default" w:ascii="宋体" w:hAnsi="宋体" w:eastAsia="宋体"/>
      <w:sz w:val="22"/>
      <w:lang w:val="en-US" w:eastAsia="en-US"/>
    </w:rPr>
  </w:style>
  <w:style w:type="character" w:customStyle="1" w:styleId="138">
    <w:name w:val="正文文本 (2)_"/>
    <w:basedOn w:val="38"/>
    <w:link w:val="139"/>
    <w:unhideWhenUsed/>
    <w:qFormat/>
    <w:uiPriority w:val="99"/>
    <w:rPr>
      <w:rFonts w:hint="eastAsia" w:ascii="宋体" w:hAnsi="宋体" w:eastAsia="宋体"/>
      <w:sz w:val="22"/>
    </w:rPr>
  </w:style>
  <w:style w:type="paragraph" w:customStyle="1" w:styleId="139">
    <w:name w:val="正文文本 (2)"/>
    <w:basedOn w:val="1"/>
    <w:link w:val="138"/>
    <w:unhideWhenUsed/>
    <w:qFormat/>
    <w:uiPriority w:val="99"/>
    <w:pPr>
      <w:shd w:val="clear" w:color="auto" w:fill="FFFFFF"/>
      <w:spacing w:before="720" w:beforeLines="0" w:afterLines="0" w:line="499" w:lineRule="exact"/>
    </w:pPr>
    <w:rPr>
      <w:rFonts w:hint="eastAsia" w:ascii="宋体" w:hAnsi="宋体" w:eastAsia="宋体"/>
      <w:sz w:val="22"/>
    </w:rPr>
  </w:style>
  <w:style w:type="paragraph" w:customStyle="1" w:styleId="140">
    <w:name w:val="表格内容"/>
    <w:basedOn w:val="14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141">
    <w:name w:val="封皮-证书编号"/>
    <w:basedOn w:val="1"/>
    <w:qFormat/>
    <w:uiPriority w:val="0"/>
    <w:pPr>
      <w:jc w:val="center"/>
    </w:pPr>
    <w:rPr>
      <w:rFonts w:eastAsia="黑体"/>
      <w:sz w:val="28"/>
    </w:rPr>
  </w:style>
  <w:style w:type="paragraph" w:customStyle="1" w:styleId="142">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43">
    <w:name w:val="C【表中文字】-"/>
    <w:basedOn w:val="1"/>
    <w:qFormat/>
    <w:uiPriority w:val="0"/>
    <w:pPr>
      <w:adjustRightInd w:val="0"/>
      <w:snapToGrid w:val="0"/>
      <w:jc w:val="center"/>
    </w:pPr>
    <w:rPr>
      <w:kern w:val="0"/>
      <w:szCs w:val="20"/>
    </w:rPr>
  </w:style>
  <w:style w:type="paragraph" w:customStyle="1" w:styleId="144">
    <w:name w:val="环评正文"/>
    <w:basedOn w:val="1"/>
    <w:qFormat/>
    <w:uiPriority w:val="0"/>
    <w:pPr>
      <w:spacing w:line="440" w:lineRule="exact"/>
      <w:ind w:firstLine="1446" w:firstLineChars="200"/>
    </w:pPr>
    <w:rPr>
      <w:kern w:val="0"/>
      <w:sz w:val="20"/>
      <w:szCs w:val="20"/>
    </w:rPr>
  </w:style>
  <w:style w:type="paragraph" w:customStyle="1" w:styleId="145">
    <w:name w:val="【表中文字】-"/>
    <w:basedOn w:val="1"/>
    <w:qFormat/>
    <w:uiPriority w:val="0"/>
    <w:pPr>
      <w:jc w:val="center"/>
    </w:pPr>
    <w:rPr>
      <w:kern w:val="0"/>
      <w:sz w:val="20"/>
      <w:szCs w:val="20"/>
    </w:rPr>
  </w:style>
  <w:style w:type="paragraph" w:customStyle="1" w:styleId="146">
    <w:name w:val="【表中的文字】"/>
    <w:basedOn w:val="32"/>
    <w:qFormat/>
    <w:uiPriority w:val="0"/>
    <w:pPr>
      <w:spacing w:before="0" w:after="0"/>
      <w:outlineLvl w:val="9"/>
    </w:pPr>
    <w:rPr>
      <w:rFonts w:ascii="Times New Roman" w:hAnsi="Times New Roman"/>
      <w:b w:val="0"/>
      <w:sz w:val="21"/>
      <w:szCs w:val="21"/>
    </w:rPr>
  </w:style>
  <w:style w:type="character" w:customStyle="1" w:styleId="147">
    <w:name w:val="【表中文字】 Char"/>
    <w:qFormat/>
    <w:uiPriority w:val="0"/>
    <w:rPr>
      <w:rFonts w:hint="default" w:ascii="Times New Roman" w:hAnsi="Times New Roman"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5.png"/><Relationship Id="rId5" Type="http://schemas.openxmlformats.org/officeDocument/2006/relationships/footer" Target="footer2.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wmf"/><Relationship Id="rId33" Type="http://schemas.openxmlformats.org/officeDocument/2006/relationships/oleObject" Target="embeddings/oleObject7.bin"/><Relationship Id="rId32" Type="http://schemas.openxmlformats.org/officeDocument/2006/relationships/image" Target="media/image18.png"/><Relationship Id="rId31" Type="http://schemas.openxmlformats.org/officeDocument/2006/relationships/image" Target="media/image17.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5.bin"/><Relationship Id="rId27" Type="http://schemas.openxmlformats.org/officeDocument/2006/relationships/image" Target="media/image15.wmf"/><Relationship Id="rId26" Type="http://schemas.openxmlformats.org/officeDocument/2006/relationships/oleObject" Target="embeddings/oleObject4.bin"/><Relationship Id="rId25" Type="http://schemas.openxmlformats.org/officeDocument/2006/relationships/image" Target="media/image14.wmf"/><Relationship Id="rId24" Type="http://schemas.openxmlformats.org/officeDocument/2006/relationships/oleObject" Target="embeddings/oleObject3.bin"/><Relationship Id="rId23" Type="http://schemas.openxmlformats.org/officeDocument/2006/relationships/image" Target="media/image13.wmf"/><Relationship Id="rId22" Type="http://schemas.openxmlformats.org/officeDocument/2006/relationships/oleObject" Target="embeddings/oleObject2.bin"/><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ca888ddb-947e-40d1-9d4d-4796f3657b93</errorID>
      <errorWord>-</errorWord>
      <group>L1_Format</group>
      <groupName>格式问题</groupName>
      <ability>L2_HalfPunc</ability>
      <abilityName>全半角检查</abilityName>
      <candidateList>
        <item>－</item>
      </candidateList>
      <explain>文本全半角错误。</explain>
      <paraID>19C480C9</paraID>
      <start>2</start>
      <end>3</end>
      <status>ignored</status>
      <modifiedWord/>
      <trackRevisions>false</trackRevisions>
    </reviewItem>
    <reviewItem>
      <errorID>076773c6-2b7a-4fef-a453-04b752ed64d8</errorID>
      <errorWord>7月-8月</errorWord>
      <group>L1_Punc</group>
      <groupName>标点问题</groupName>
      <ability>L2_Punc</ability>
      <abilityName>标点符号检查</abilityName>
      <candidateList>
        <item>7月—8月</item>
      </candidateList>
      <explain/>
      <paraID>347DB8E1</paraID>
      <start>5</start>
      <end>10</end>
      <status>ignored</status>
      <modifiedWord/>
      <trackRevisions>false</trackRevisions>
    </reviewItem>
    <reviewItem>
      <errorID>1a9d3583-1a36-48a4-9fac-8e62470a9376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24ABCD0</paraID>
      <start>0</start>
      <end>2</end>
      <status>ignored</status>
      <modifiedWord/>
      <trackRevisions>false</trackRevisions>
    </reviewItem>
    <reviewItem>
      <errorID>1274f24d-5214-47d3-9f0e-2c891bc69d99</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83A1BC2</paraID>
      <start>113</start>
      <end>114</end>
      <status>ignored</status>
      <modifiedWord/>
      <trackRevisions>false</trackRevisions>
    </reviewItem>
    <reviewItem>
      <errorID>e3c23652-a5f7-490b-9e1a-b4ee6d09bbfd</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 83A1BC2</paraID>
      <start>141</start>
      <end>142</end>
      <status>ignored</status>
      <modifiedWord/>
      <trackRevisions>false</trackRevisions>
    </reviewItem>
    <reviewItem>
      <errorID>90f762d1-5dd3-440f-9b95-6188544be584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83A1BC2</paraID>
      <start>153</start>
      <end>154</end>
      <status>ignored</status>
      <modifiedWord/>
      <trackRevisions>false</trackRevisions>
    </reviewItem>
    <reviewItem>
      <errorID>5238081f-3a9c-44df-bfd0-9e91f1a3a255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38478AB1</paraID>
      <start>0</start>
      <end>2</end>
      <status>ignored</status>
      <modifiedWord/>
      <trackRevisions>false</trackRevisions>
    </reviewItem>
    <reviewItem>
      <errorID>1390b01c-4e55-46a0-bb12-91e808890b77</errorID>
      <errorWord>法律、法规</errorWord>
      <group>L1_Word</group>
      <groupName>字词问题</groupName>
      <ability>L2_Typo</ability>
      <abilityName>字词错误</abilityName>
      <candidateList>
        <item>法律法规</item>
      </candidateList>
      <explain/>
      <paraID>2BA06F06</paraID>
      <start>63</start>
      <end>68</end>
      <status>ignored</status>
      <modifiedWord/>
      <trackRevisions>false</trackRevisions>
    </reviewItem>
    <reviewItem>
      <errorID>8b1fe8ea-57b2-421e-a4d6-9590c3a7b67d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44D015B7</paraID>
      <start>0</start>
      <end>2</end>
      <status>ignored</status>
      <modifiedWord/>
      <trackRevisions>false</trackRevisions>
    </reviewItem>
    <reviewItem>
      <errorID>93b784ed-9814-4367-8f8b-45ed3eb56d0c</errorID>
      <errorWord>，</errorWord>
      <group>L1_Punc</group>
      <groupName>标点问题</groupName>
      <ability>L2_Punc</ability>
      <abilityName>标点符号检查</abilityName>
      <candidateList>
        <item>。</item>
      </candidateList>
      <explain/>
      <paraID>7DDDF3D4</paraID>
      <start>45</start>
      <end>46</end>
      <status>modified</status>
      <modifiedWord>。</modifiedWord>
      <trackRevisions>false</trackRevisions>
    </reviewItem>
    <reviewItem>
      <errorID>644e01f2-415d-4d1a-88ca-b9a80b5015e1</errorID>
      <errorWord>，</errorWord>
      <group>L1_Punc</group>
      <groupName>标点问题</groupName>
      <ability>L2_Punc</ability>
      <abilityName>标点符号检查</abilityName>
      <candidateList>
        <item>。</item>
      </candidateList>
      <explain/>
      <paraID>7DDDF3D4</paraID>
      <start>83</start>
      <end>84</end>
      <status>modified</status>
      <modifiedWord>。</modifiedWord>
      <trackRevisions>false</trackRevisions>
    </reviewItem>
    <reviewItem>
      <errorID>bcc3d9a8-d911-4851-83b9-f868c5f7e755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46E010DD</paraID>
      <start>0</start>
      <end>2</end>
      <status>ignored</status>
      <modifiedWord/>
      <trackRevisions>false</trackRevisions>
    </reviewItem>
    <reviewItem>
      <errorID>a243f5ed-04b1-48b7-8409-7c45d05ed17a</errorID>
      <errorWord>环境影响评价</errorWord>
      <group>L1_Punc</group>
      <groupName>标点问题</groupName>
      <ability>L2_Punc</ability>
      <abilityName>标点符号检查</abilityName>
      <candidateList>
        <item>（环境影响评价）</item>
      </candidateList>
      <explain/>
      <paraID>44490808</paraID>
      <start>21</start>
      <end>27</end>
      <status>ignored</status>
      <modifiedWord/>
      <trackRevisions>false</trackRevisions>
    </reviewItem>
    <reviewItem>
      <errorID>bc93dfe8-dd8a-4fc7-97f7-c0f928f70cb7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44490808</paraID>
      <start>34</start>
      <end>35</end>
      <status>ignored</status>
      <modifiedWord/>
      <trackRevisions>false</trackRevisions>
    </reviewItem>
    <reviewItem>
      <errorID>965f6d16-098c-47aa-b352-f7838b146582</errorID>
      <errorWord>“三线一单 </errorWord>
      <group>L1_Punc</group>
      <groupName>标点问题</groupName>
      <ability>L2_Punc</ability>
      <abilityName>标点符号检查</abilityName>
      <candidateList>
        <item>‘三线一单’</item>
      </candidateList>
      <explain/>
      <paraID>44490808</paraID>
      <start>41</start>
      <end>47</end>
      <status>ignored</status>
      <modifiedWord/>
      <trackRevisions>false</trackRevisions>
    </reviewItem>
    <reviewItem>
      <errorID>471bb479-babf-402f-8da9-03106c1caff0</errorID>
      <errorWord>“一图一表一说明”</errorWord>
      <group>L1_Punc</group>
      <groupName>标点问题</groupName>
      <ability>L2_Punc</ability>
      <abilityName>标点符号检查</abilityName>
      <candidateList>
        <item>‘一图一表一说明’</item>
      </candidateList>
      <explain/>
      <paraID>44490808</paraID>
      <start>62</start>
      <end>71</end>
      <status>ignored</status>
      <modifiedWord/>
      <trackRevisions>false</trackRevisions>
    </reviewItem>
    <reviewItem>
      <errorID>57d71b85-8cfb-4c09-b846-a9591ef334e3</errorID>
      <errorWord>”。</errorWord>
      <group>L1_Punc</group>
      <groupName>标点问题</groupName>
      <ability>L2_Punc</ability>
      <abilityName>标点符号检查</abilityName>
      <candidateList>
        <item>。”</item>
      </candidateList>
      <explain/>
      <paraID>44490808</paraID>
      <start>76</start>
      <end>78</end>
      <status>modified</status>
      <modifiedWord>。”</modifiedWord>
      <trackRevisions>false</trackRevisions>
    </reviewItem>
    <reviewItem>
      <errorID>6bee96b2-6aed-4905-b8e5-08fe98a18561</errorID>
      <errorWord>、</errorWord>
      <group>L1_Punc</group>
      <groupName>标点问题</groupName>
      <ability>L2_Punc</ability>
      <abilityName>标点符号检查</abilityName>
      <candidateList/>
      <explain/>
      <paraID>4D495179</paraID>
      <start>0</start>
      <end>1</end>
      <status>ignored</status>
      <modifiedWord/>
      <trackRevisions>false</trackRevisions>
    </reviewItem>
    <reviewItem>
      <errorID>0cb6b1c1-730d-4a5d-a1b2-1cdf6af8a99d</errorID>
      <errorWord>项目</errorWord>
      <group>L1_Punc</group>
      <groupName>标点问题</groupName>
      <ability>L2_Punc</ability>
      <abilityName>标点符号检查</abilityName>
      <candidateList>
        <item>项目。</item>
      </candidateList>
      <explain/>
      <paraID>4D495179</paraID>
      <start>7</start>
      <end>10</end>
      <status>modified</status>
      <modifiedWord>项目。</modifiedWord>
      <trackRevisions>false</trackRevisions>
    </reviewItem>
    <reviewItem>
      <errorID>58b0d5d0-ad9a-457e-9703-0ceddf37a44d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1C3B3BBA</paraID>
      <start>0</start>
      <end>2</end>
      <status>ignored</status>
      <modifiedWord/>
      <trackRevisions>false</trackRevisions>
    </reviewItem>
    <reviewItem>
      <errorID>c3fcd6a7-3242-4ba2-b0b1-e59f6f870b13</errorID>
      <errorWord>一</errorWord>
      <group>L1_Word</group>
      <groupName>字词问题</groupName>
      <ability>L2_Typo</ability>
      <abilityName>字词错误</abilityName>
      <candidateList>
        <item> </item>
      </candidateList>
      <explain/>
      <paraID>6A9CC1C9</paraID>
      <start>1</start>
      <end>2</end>
      <status>ignored</status>
      <modifiedWord/>
      <trackRevisions>false</trackRevisions>
    </reviewItem>
    <reviewItem>
      <errorID>d74df484-25a2-4bbc-b863-8dea3a8330c4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4C1B88B6</paraID>
      <start>0</start>
      <end>2</end>
      <status>ignored</status>
      <modifiedWord/>
      <trackRevisions>false</trackRevisions>
    </reviewItem>
    <reviewItem>
      <errorID>a79a3ac5-0e41-4ec2-bd7e-4c1476685dd2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98115FD</paraID>
      <start>0</start>
      <end>2</end>
      <status>ignored</status>
      <modifiedWord/>
      <trackRevisions>false</trackRevisions>
    </reviewItem>
    <reviewItem>
      <errorID>d31b31e7-ab3f-4b7d-878d-e50b473d3269</errorID>
      <errorWord>县（市）区</errorWord>
      <group>L1_Punc</group>
      <groupName>标点问题</groupName>
      <ability>L2_Punc</ability>
      <abilityName>标点符号检查</abilityName>
      <candidateList>
        <item>县（市、区）</item>
      </candidateList>
      <explain/>
      <paraID>38353B3D</paraID>
      <start>21</start>
      <end>26</end>
      <status>ignored</status>
      <modifiedWord/>
      <trackRevisions>false</trackRevisions>
    </reviewItem>
    <reviewItem>
      <errorID>a30e5f26-196f-48ab-b18a-fc0c94d9ece5</errorID>
      <errorWord>6、</errorWord>
      <group>L1_Format</group>
      <groupName>格式问题</groupName>
      <ability>L2_Ordinal</ability>
      <abilityName>序号格式</abilityName>
      <candidateList>
        <item>7、</item>
      </candidateList>
      <explain>标题顺序错误，请检查标题顺序是否合理。</explain>
      <paraID>2A014033</paraID>
      <start>0</start>
      <end>2</end>
      <status>ignored</status>
      <modifiedWord/>
      <trackRevisions>false</trackRevisions>
    </reviewItem>
    <reviewItem>
      <errorID>aa0c4afe-f8ee-4527-bd33-c4e455042751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59AEC734</paraID>
      <start>0</start>
      <end>2</end>
      <status>ignored</status>
      <modifiedWord/>
      <trackRevisions>false</trackRevisions>
    </reviewItem>
    <reviewItem>
      <errorID>68987148-f99c-4289-b189-bdf43d966bbd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2FC7B301</paraID>
      <start>0</start>
      <end>2</end>
      <status>ignored</status>
      <modifiedWord/>
      <trackRevisions>false</trackRevisions>
    </reviewItem>
    <reviewItem>
      <errorID>2ebefd7b-6beb-4da7-b958-e2e2ca8f4928</errorID>
      <errorWord>132M J</errorWord>
      <group>L1_Word</group>
      <groupName>字词问题</groupName>
      <ability>L2_Typo</ability>
      <abilityName>字词错误</abilityName>
      <candidateList>
        <item>132MJ</item>
      </candidateList>
      <explain/>
      <paraID>439916F8</paraID>
      <start>107</start>
      <end>112</end>
      <status>modified</status>
      <modifiedWord>132MJ</modifiedWord>
      <trackRevisions>false</trackRevisions>
    </reviewItem>
    <reviewItem>
      <errorID>74f37208-9521-4f27-86ca-764d9b926df0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1158C35F</paraID>
      <start>0</start>
      <end>2</end>
      <status>ignored</status>
      <modifiedWord/>
      <trackRevisions>false</trackRevisions>
    </reviewItem>
    <reviewItem>
      <errorID>71852f6d-953a-4c9e-ae02-3ba4e88e0845</errorID>
      <errorWord>-</errorWord>
      <group>L1_Format</group>
      <groupName>格式问题</groupName>
      <ability>L2_HalfPunc</ability>
      <abilityName>全半角检查</abilityName>
      <candidateList>
        <item>－</item>
      </candidateList>
      <explain>文本全半角错误。</explain>
      <paraID>429C34C6</paraID>
      <start>80</start>
      <end>81</end>
      <status>ignored</status>
      <modifiedWord/>
      <trackRevisions>false</trackRevisions>
    </reviewItem>
    <reviewItem>
      <errorID>0da2588b-4d11-41da-bfb1-a8324c2b3f8d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5B5BD786</paraID>
      <start>0</start>
      <end>2</end>
      <status>ignored</status>
      <modifiedWord/>
      <trackRevisions>false</trackRevisions>
    </reviewItem>
    <reviewItem>
      <errorID>a1672c23-cbd4-4d38-82a6-28f9909ecf77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1B9EFE7B</paraID>
      <start>0</start>
      <end>2</end>
      <status>ignored</status>
      <modifiedWord/>
      <trackRevisions>false</trackRevisions>
    </reviewItem>
    <reviewItem>
      <errorID>9fce8253-9171-42ef-aae5-b8c8dc2b33c1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2B6D14AB</paraID>
      <start>0</start>
      <end>2</end>
      <status>ignored</status>
      <modifiedWord/>
      <trackRevisions>false</trackRevisions>
    </reviewItem>
    <reviewItem>
      <errorID>f36b2946-c495-4c95-9829-c744f9214b82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6F762CA5</paraID>
      <start>0</start>
      <end>2</end>
      <status>ignored</status>
      <modifiedWord/>
      <trackRevisions>false</trackRevisions>
    </reviewItem>
    <reviewItem>
      <errorID>7d77f813-303d-45d9-89fa-e5f3e6c51aa7</errorID>
      <errorWord>2</errorWord>
      <group>L1_Word</group>
      <groupName>字词问题</groupName>
      <ability>L2_Typo</ability>
      <abilityName>字词错误</abilityName>
      <candidateList>
        <item>7</item>
      </candidateList>
      <explain/>
      <paraID>772BD7D2</paraID>
      <start>40</start>
      <end>41</end>
      <status>ignored</status>
      <modifiedWord/>
      <trackRevisions>false</trackRevisions>
    </reviewItem>
    <reviewItem>
      <errorID>4339f9f1-a754-45a7-9f4e-bf2114a7f428</errorID>
      <errorWord>[2010]14号</errorWord>
      <group>L1_Knowledge</group>
      <groupName>知识性问题</groupName>
      <ability>L2_Knowledge</ability>
      <abilityName>其他知识</abilityName>
      <candidateList>
        <item>〔2010〕14号</item>
      </candidateList>
      <explain>发文字号格式错误。</explain>
      <paraID>772BD7D2</paraID>
      <start>149</start>
      <end>158</end>
      <status>modified</status>
      <modifiedWord>〔2010〕14号</modifiedWord>
      <trackRevisions>false</trackRevisions>
    </reviewItem>
    <reviewItem>
      <errorID>580f1905-c387-4db9-b0fa-b1210087a541</errorID>
      <errorWord>[2016]69号</errorWord>
      <group>L1_Knowledge</group>
      <groupName>知识性问题</groupName>
      <ability>L2_Knowledge</ability>
      <abilityName>其他知识</abilityName>
      <candidateList>
        <item>〔2016〕69号</item>
      </candidateList>
      <explain>发文字号格式错误。</explain>
      <paraID>772BD7D2</paraID>
      <start>283</start>
      <end>292</end>
      <status>modified</status>
      <modifiedWord>〔2016〕69号</modifiedWord>
      <trackRevisions>false</trackRevisions>
    </reviewItem>
    <reviewItem>
      <errorID>f3483ed3-3a7e-412d-a710-762f166fca02</errorID>
      <errorWord>一、</errorWord>
      <group>L1_Format</group>
      <groupName>格式问题</groupName>
      <ability>L2_Ordinal</ability>
      <abilityName>序号格式</abilityName>
      <candidateList>
        <item>1、</item>
      </candidateList>
      <explain>标题顺序错误，请检查标题顺序是否合理。</explain>
      <paraID>680398A9</paraID>
      <start>0</start>
      <end>2</end>
      <status>ignored</status>
      <modifiedWord/>
      <trackRevisions>false</trackRevisions>
    </reviewItem>
    <reviewItem>
      <errorID>eb06396a-fee9-48a6-bc55-e7a4b566f29d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1013E541</paraID>
      <start>0</start>
      <end>2</end>
      <status>ignored</status>
      <modifiedWord/>
      <trackRevisions>false</trackRevisions>
    </reviewItem>
    <reviewItem>
      <errorID>798f4419-778f-4cf5-b924-6ac5f9734336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7D5C9C5B</paraID>
      <start>0</start>
      <end>2</end>
      <status>ignored</status>
      <modifiedWord/>
      <trackRevisions>false</trackRevisions>
    </reviewItem>
    <reviewItem>
      <errorID>776d8c7a-ba20-49e7-98e2-16bf1dcf551a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E48CC9D</paraID>
      <start>0</start>
      <end>2</end>
      <status>ignored</status>
      <modifiedWord/>
      <trackRevisions>false</trackRevisions>
    </reviewItem>
    <reviewItem>
      <errorID>f48b9b71-06ef-4a9f-af4d-9b4cfd802374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40835FA</paraID>
      <start>0</start>
      <end>2</end>
      <status>ignored</status>
      <modifiedWord/>
      <trackRevisions>false</trackRevisions>
    </reviewItem>
    <reviewItem>
      <errorID>0f29aef2-4170-4fc8-afef-04f82992fce5</errorID>
      <errorWord>（</errorWord>
      <group>L1_Punc</group>
      <groupName>标点问题</groupName>
      <ability>L2_Punc</ability>
      <abilityName>标点符号检查</abilityName>
      <candidateList>
        <item>》（</item>
      </candidateList>
      <explain/>
      <paraID>4A0B77A9</paraID>
      <start>27</start>
      <end>28</end>
      <status>ignored</status>
      <modifiedWord/>
      <trackRevisions>false</trackRevisions>
    </reviewItem>
    <reviewItem>
      <errorID>db975fd4-01ff-4c6a-92d1-ddc77e268f01</errorID>
      <errorWord>》</errorWord>
      <group>L1_Punc</group>
      <groupName>标点问题</groupName>
      <ability>L2_Punc</ability>
      <abilityName>标点符号检查</abilityName>
      <candidateList>
        <item/>
      </candidateList>
      <explain/>
      <paraID>4A0B77A9</paraID>
      <start>31</start>
      <end>32</end>
      <status>ignored</status>
      <modifiedWord/>
      <trackRevisions>false</trackRevisions>
    </reviewItem>
    <reviewItem>
      <errorID>d3314a5b-0339-4980-8dad-0ae720cca4a9</errorID>
      <errorWord>)</errorWord>
      <group>L1_Format</group>
      <groupName>格式问题</groupName>
      <ability>L2_HalfPunc</ability>
      <abilityName>全半角检查</abilityName>
      <candidateList>
        <item>）</item>
      </candidateList>
      <explain>文本全半角错误。</explain>
      <paraID>4A0B77A9</paraID>
      <start>153</start>
      <end>154</end>
      <status>ignored</status>
      <modifiedWord/>
      <trackRevisions>false</trackRevisions>
    </reviewItem>
    <reviewItem>
      <errorID>7143433b-fe8c-4ff3-9150-8d24dcb7ae67</errorID>
      <errorWord>)</errorWord>
      <group>L1_Format</group>
      <groupName>格式问题</groupName>
      <ability>L2_HalfPunc</ability>
      <abilityName>全半角检查</abilityName>
      <candidateList>
        <item>）</item>
      </candidateList>
      <explain>文本全半角错误。</explain>
      <paraID>4A0B77A9</paraID>
      <start>184</start>
      <end>185</end>
      <status>ignored</status>
      <modifiedWord/>
      <trackRevisions>false</trackRevisions>
    </reviewItem>
    <reviewItem>
      <errorID>2a68b09d-9278-48a4-9be5-7a1a670c6381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304B39EE</paraID>
      <start>0</start>
      <end>2</end>
      <status>ignored</status>
      <modifiedWord/>
      <trackRevisions>false</trackRevisions>
    </reviewItem>
    <reviewItem>
      <errorID>e696bb32-ec2c-4e40-9d2e-0f3b3524d3d7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165A4AD</paraID>
      <start>0</start>
      <end>2</end>
      <status>ignored</status>
      <modifiedWord/>
      <trackRevisions>false</trackRevisions>
    </reviewItem>
    <reviewItem>
      <errorID>39dd61c4-1689-4008-b95b-5673ea53eb65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336B4050</paraID>
      <start>0</start>
      <end>2</end>
      <status>ignored</status>
      <modifiedWord/>
      <trackRevisions>false</trackRevisions>
    </reviewItem>
    <reviewItem>
      <errorID>77770969-12e1-4da8-ac74-26aa351faec7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6F91230C</paraID>
      <start>0</start>
      <end>2</end>
      <status>ignored</status>
      <modifiedWord/>
      <trackRevisions>false</trackRevisions>
    </reviewItem>
    <reviewItem>
      <errorID>eae31b14-7a26-44cb-89bc-4c6c7595d550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539A2C03</paraID>
      <start>0</start>
      <end>2</end>
      <status>ignored</status>
      <modifiedWord/>
      <trackRevisions>false</trackRevisions>
    </reviewItem>
    <reviewItem>
      <errorID>e1dcf7c1-4bd3-4a44-b75f-4981f41d5a09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4224CBF7</paraID>
      <start>0</start>
      <end>2</end>
      <status>ignored</status>
      <modifiedWord/>
      <trackRevisions>false</trackRevisions>
    </reviewItem>
    <reviewItem>
      <errorID>48cb426b-289a-4501-acfa-cb6db276819b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40FBA23B</paraID>
      <start>0</start>
      <end>2</end>
      <status>ignored</status>
      <modifiedWord/>
      <trackRevisions>false</trackRevisions>
    </reviewItem>
    <reviewItem>
      <errorID>c3270e4d-60a0-45c3-81c6-6454fde4e45a</errorID>
      <errorWord>做</errorWord>
      <group>L1_Word</group>
      <groupName>字词问题</groupName>
      <ability>L2_Typo</ability>
      <abilityName>字词错误</abilityName>
      <candidateList>
        <item>作</item>
      </candidateList>
      <explain>存在发音相同字词的误用。</explain>
      <paraID>25CA0902</paraID>
      <start>38</start>
      <end>39</end>
      <status>modified</status>
      <modifiedWord>作</modifiedWord>
      <trackRevisions>false</trackRevisions>
    </reviewItem>
    <reviewItem>
      <errorID>34dfe54f-10f3-4cd1-a8d3-7fa9d900dc18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BD23B46</paraID>
      <start>0</start>
      <end>2</end>
      <status>ignored</status>
      <modifiedWord/>
      <trackRevisions>false</trackRevisions>
    </reviewItem>
    <reviewItem>
      <errorID>0d54d6bb-a70c-4493-ae05-3b6161ce774c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5D7C645F</paraID>
      <start>0</start>
      <end>2</end>
      <status>ignored</status>
      <modifiedWord/>
      <trackRevisions>false</trackRevisions>
    </reviewItem>
    <reviewItem>
      <errorID>81de28d6-e355-46e7-a868-8bce9a925074</errorID>
      <errorWord>）中</errorWord>
      <group>L1_Word</group>
      <groupName>字词问题</groupName>
      <ability>L2_Typo</ability>
      <abilityName>字词错误</abilityName>
      <candidateList>
        <item>）</item>
      </candidateList>
      <explain/>
      <paraID>671B9CF1</paraID>
      <start>36</start>
      <end>38</end>
      <status>ignored</status>
      <modifiedWord/>
      <trackRevisions>false</trackRevisions>
    </reviewItem>
    <reviewItem>
      <errorID>e0c739c2-9fe9-4ce7-9ce3-3f4fcb96c8a8</errorID>
      <errorWord>-</errorWord>
      <group>L1_Format</group>
      <groupName>格式问题</groupName>
      <ability>L2_HalfPunc</ability>
      <abilityName>全半角检查</abilityName>
      <candidateList>
        <item>－</item>
      </candidateList>
      <explain>文本全半角错误。</explain>
      <paraID>671B9CF1</paraID>
      <start>66</start>
      <end>67</end>
      <status>ignored</status>
      <modifiedWord/>
      <trackRevisions>false</trackRevisions>
    </reviewItem>
    <reviewItem>
      <errorID>12cb244d-b696-4cd3-96b6-ed1835ddbbea</errorID>
      <errorWord>-</errorWord>
      <group>L1_Punc</group>
      <groupName>标点问题</groupName>
      <ability>L2_Punc</ability>
      <abilityName>标点符号检查</abilityName>
      <candidateList>
        <item>——</item>
      </candidateList>
      <explain/>
      <paraID>671B9CF1</paraID>
      <start>74</start>
      <end>75</end>
      <status>ignored</status>
      <modifiedWord/>
      <trackRevisions>false</trackRevisions>
    </reviewItem>
    <reviewItem>
      <errorID>6a4e57bb-37b8-47b6-bea2-60084381748c</errorID>
      <errorWord>-</errorWord>
      <group>L1_Format</group>
      <groupName>格式问题</groupName>
      <ability>L2_HalfPunc</ability>
      <abilityName>全半角检查</abilityName>
      <candidateList>
        <item>－</item>
      </candidateList>
      <explain>文本全半角错误。</explain>
      <paraID>671B9CF1</paraID>
      <start>83</start>
      <end>84</end>
      <status>ignored</status>
      <modifiedWord/>
      <trackRevisions>false</trackRevisions>
    </reviewItem>
    <reviewItem>
      <errorID>8ad31965-da01-4cb9-afd3-86af29f84c66</errorID>
      <errorWord>100</errorWord>
      <group>L1_Punc</group>
      <groupName>标点问题</groupName>
      <ability>L2_Punc</ability>
      <abilityName>标点符号检查</abilityName>
      <candidateList>
        <item>/100</item>
      </candidateList>
      <explain/>
      <paraID>4EF0959E</paraID>
      <start>59</start>
      <end>62</end>
      <status>ignored</status>
      <modifiedWord/>
      <trackRevisions>false</trackRevisions>
    </reviewItem>
    <reviewItem>
      <errorID>60f03947-0775-4207-8fa8-aaf15ef53b76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3DF20E03</paraID>
      <start>0</start>
      <end>2</end>
      <status>ignored</status>
      <modifiedWord/>
      <trackRevisions>false</trackRevisions>
    </reviewItem>
    <reviewItem>
      <errorID>21dafa5e-1afb-436f-8fbb-4439c0287ba8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517C206E</paraID>
      <start>0</start>
      <end>2</end>
      <status>ignored</status>
      <modifiedWord/>
      <trackRevisions>false</trackRevisions>
    </reviewItem>
    <reviewItem>
      <errorID>7cf62689-0344-46dd-8622-7c6e07167f89</errorID>
      <errorWord>(</errorWord>
      <group>L1_Format</group>
      <groupName>格式问题</groupName>
      <ability>L2_HalfPunc</ability>
      <abilityName>全半角检查</abilityName>
      <candidateList>
        <item>（</item>
      </candidateList>
      <explain>文本全半角错误。</explain>
      <paraID>377A96CB</paraID>
      <start>40</start>
      <end>41</end>
      <status>modified</status>
      <modifiedWord>（</modifiedWord>
      <trackRevisions>false</trackRevisions>
    </reviewItem>
    <reviewItem>
      <errorID>c71882ee-e3ad-49b3-a8fa-e3f9b728d1d9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655CDB22</paraID>
      <start>0</start>
      <end>2</end>
      <status>ignored</status>
      <modifiedWord/>
      <trackRevisions>false</trackRevisions>
    </reviewItem>
    <reviewItem>
      <errorID>972c88bf-a8b6-4f07-b0a5-8b709c596c78</errorID>
      <errorWord>“</errorWord>
      <group>L1_Punc</group>
      <groupName>标点问题</groupName>
      <ability>L2_Punc</ability>
      <abilityName>标点符号检查</abilityName>
      <candidateList>
        <item/>
      </candidateList>
      <explain/>
      <paraID>28464AFC</paraID>
      <start>24</start>
      <end>25</end>
      <status>ignored</status>
      <modifiedWord/>
      <trackRevisions>false</trackRevisions>
    </reviewItem>
    <reviewItem>
      <errorID>eaabd767-470e-413e-b699-0b5639944bd9</errorID>
      <errorWord>供应）行业系数手册”中产</errorWord>
      <group>L1_Grammar</group>
      <groupName>语法问题</groupName>
      <ability>L2_Grammar</ability>
      <abilityName>语法错误</abilityName>
      <candidateList>
        <item>生产和供应行业）产</item>
      </candidateList>
      <explain/>
      <paraID>28464AFC</paraID>
      <start>36</start>
      <end>48</end>
      <status>ignored</status>
      <modifiedWord/>
      <trackRevisions>false</trackRevisions>
    </reviewItem>
    <reviewItem>
      <errorID>e12975a1-8465-4dac-8fe8-04f529d33cfc</errorID>
      <errorWord>系数</errorWord>
      <group>L1_Word</group>
      <groupName>字词问题</groupName>
      <ability>L2_Typo</ability>
      <abilityName>字词错误</abilityName>
      <candidateList>
        <item>系数表</item>
      </candidateList>
      <explain/>
      <paraID>28464AFC</paraID>
      <start>49</start>
      <end>51</end>
      <status>ignored</status>
      <modifiedWord/>
      <trackRevisions>false</trackRevisions>
    </reviewItem>
    <reviewItem>
      <errorID>f8010975-66bc-4180-ad18-41f2efa0d146</errorID>
      <errorWord>-</errorWord>
      <group>L1_Format</group>
      <groupName>格式问题</groupName>
      <ability>L2_HalfPunc</ability>
      <abilityName>全半角检查</abilityName>
      <candidateList>
        <item>－</item>
      </candidateList>
      <explain>文本全半角错误。</explain>
      <paraID>28464AFC</paraID>
      <start>80</start>
      <end>81</end>
      <status>ignored</status>
      <modifiedWord/>
      <trackRevisions>false</trackRevisions>
    </reviewItem>
    <reviewItem>
      <errorID>4722be18-2b2e-41ee-b142-0aa07e7e7f1e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2BB76F0E</paraID>
      <start>0</start>
      <end>2</end>
      <status>ignored</status>
      <modifiedWord/>
      <trackRevisions>false</trackRevisions>
    </reviewItem>
    <reviewItem>
      <errorID>78352734-519c-442e-8ca1-64b41ee0e5fa</errorID>
      <errorWord>）</errorWord>
      <group>L1_Format</group>
      <groupName>格式问题</groupName>
      <ability>L2_HalfPunc</ability>
      <abilityName>全半角检查</abilityName>
      <candidateList>
        <item>)</item>
      </candidateList>
      <explain>文本全半角错误。</explain>
      <paraID>2C4DD2BE</paraID>
      <start>21</start>
      <end>22</end>
      <status>ignored</status>
      <modifiedWord/>
      <trackRevisions>false</trackRevisions>
    </reviewItem>
    <reviewItem>
      <errorID>7bed721c-3ad9-4269-b398-1bc205fe2485</errorID>
      <errorWord>）</errorWord>
      <group>L1_Format</group>
      <groupName>格式问题</groupName>
      <ability>L2_HalfPunc</ability>
      <abilityName>全半角检查</abilityName>
      <candidateList>
        <item>)</item>
      </candidateList>
      <explain>文本全半角错误。</explain>
      <paraID>6E3D12E0</paraID>
      <start>31</start>
      <end>32</end>
      <status>ignored</status>
      <modifiedWord/>
      <trackRevisions>false</trackRevisions>
    </reviewItem>
    <reviewItem>
      <errorID>1c94a9a9-6f3a-41fc-ad0a-696e7db0006a</errorID>
      <errorWord>）</errorWord>
      <group>L1_Format</group>
      <groupName>格式问题</groupName>
      <ability>L2_HalfPunc</ability>
      <abilityName>全半角检查</abilityName>
      <candidateList>
        <item>)</item>
      </candidateList>
      <explain>文本全半角错误。</explain>
      <paraID>380A11FD</paraID>
      <start>28</start>
      <end>29</end>
      <status>ignored</status>
      <modifiedWord/>
      <trackRevisions>false</trackRevisions>
    </reviewItem>
    <reviewItem>
      <errorID>3b642daf-3a19-4932-ac14-b11490f72e7a</errorID>
      <errorWord>）</errorWord>
      <group>L1_Format</group>
      <groupName>格式问题</groupName>
      <ability>L2_HalfPunc</ability>
      <abilityName>全半角检查</abilityName>
      <candidateList>
        <item>)</item>
      </candidateList>
      <explain>文本全半角错误。</explain>
      <paraID>3D50FF47</paraID>
      <start>31</start>
      <end>32</end>
      <status>ignored</status>
      <modifiedWord/>
      <trackRevisions>false</trackRevisions>
    </reviewItem>
    <reviewItem>
      <errorID>571981be-3ec1-4aec-8174-976cff58ffcd</errorID>
      <errorWord>）</errorWord>
      <group>L1_Format</group>
      <groupName>格式问题</groupName>
      <ability>L2_HalfPunc</ability>
      <abilityName>全半角检查</abilityName>
      <candidateList>
        <item>)</item>
      </candidateList>
      <explain>文本全半角错误。</explain>
      <paraID>675E2234</paraID>
      <start>17</start>
      <end>18</end>
      <status>ignored</status>
      <modifiedWord/>
      <trackRevisions>false</trackRevisions>
    </reviewItem>
    <reviewItem>
      <errorID>99653567-4333-4512-b798-799150098131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2A053BB1</paraID>
      <start>0</start>
      <end>2</end>
      <status>ignored</status>
      <modifiedWord/>
      <trackRevisions>false</trackRevisions>
    </reviewItem>
    <reviewItem>
      <errorID>86d96f65-9fdb-4845-8141-3a05b7061b82</errorID>
      <errorWord>料</errorWord>
      <group>L1_Word</group>
      <groupName>字词问题</groupName>
      <ability>L2_Typo</ability>
      <abilityName>字词错误</abilityName>
      <candidateList>
        <item>料消</item>
      </candidateList>
      <explain/>
      <paraID>39B79C53</paraID>
      <start>12</start>
      <end>14</end>
      <status>modified</status>
      <modifiedWord>料消</modifiedWord>
      <trackRevisions>false</trackRevisions>
    </reviewItem>
    <reviewItem>
      <errorID>4bb2fafd-be71-484c-87fc-64c49e933f6c</errorID>
      <errorWord> </errorWord>
      <group>L1_Punc</group>
      <groupName>标点问题</groupName>
      <ability>L2_Punc</ability>
      <abilityName>标点符号检查</abilityName>
      <candidateList>
        <item>%</item>
      </candidateList>
      <explain/>
      <paraID>53F4F611</paraID>
      <start>29</start>
      <end>30</end>
      <status>modified</status>
      <modifiedWord>%</modifiedWord>
      <trackRevisions>false</trackRevisions>
    </reviewItem>
    <reviewItem>
      <errorID>62215fbd-496e-4f25-bac1-a51a2c672319</errorID>
      <errorWord>；</errorWord>
      <group>L1_Punc</group>
      <groupName>标点问题</groupName>
      <ability>L2_Punc</ability>
      <abilityName>标点符号检查</abilityName>
      <candidateList>
        <item>%；</item>
      </candidateList>
      <explain/>
      <paraID>7790D9D1</paraID>
      <start>27</start>
      <end>29</end>
      <status>modified</status>
      <modifiedWord>%；</modifiedWord>
      <trackRevisions>false</trackRevisions>
    </reviewItem>
    <reviewItem>
      <errorID>c12fbb07-33b0-4be0-91c7-f301847e7faf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7EE9140F</paraID>
      <start>21</start>
      <end>22</end>
      <status>ignored</status>
      <modifiedWord/>
      <trackRevisions>false</trackRevisions>
    </reviewItem>
    <reviewItem>
      <errorID>5dc7909a-29dd-4e06-ac7e-5d6e7ddaa2a2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7CC6DA87</paraID>
      <start>0</start>
      <end>2</end>
      <status>ignored</status>
      <modifiedWord/>
      <trackRevisions>false</trackRevisions>
    </reviewItem>
    <reviewItem>
      <errorID>c9063e01-3511-418a-a384-438e9cb1c044</errorID>
      <errorWord>、</errorWord>
      <group>L1_Punc</group>
      <groupName>标点问题</groupName>
      <ability>L2_Punc</ability>
      <abilityName>标点符号检查</abilityName>
      <candidateList/>
      <explain/>
      <paraID> BB1E6B3</paraID>
      <start>0</start>
      <end>1</end>
      <status>ignored</status>
      <modifiedWord/>
      <trackRevisions>false</trackRevisions>
    </reviewItem>
    <reviewItem>
      <errorID>4dbd1498-68e9-435b-8c52-85277f80a72d</errorID>
      <errorWord>减震</errorWord>
      <group>L1_Word</group>
      <groupName>字词问题</groupName>
      <ability>L2_Typo</ability>
      <abilityName>字词错误</abilityName>
      <candidateList>
        <item>减振</item>
      </candidateList>
      <explain/>
      <paraID> 6E054EB</paraID>
      <start>10</start>
      <end>12</end>
      <status>modified</status>
      <modifiedWord>减振</modifiedWord>
      <trackRevisions>false</trackRevisions>
    </reviewItem>
    <reviewItem>
      <errorID>bb10d827-51f4-4a51-b0e7-dad368762553</errorID>
      <errorWord>处理/处置</errorWord>
      <group>L1_Grammar</group>
      <groupName>语法问题</groupName>
      <ability>L2_Grammar</ability>
      <abilityName>语法错误</abilityName>
      <candidateList>
        <item>处理</item>
      </candidateList>
      <explain/>
      <paraID>7D36F599</paraID>
      <start>51</start>
      <end>53</end>
      <status>modified</status>
      <modifiedWord>处理</modifiedWord>
      <trackRevisions>false</trackRevisions>
    </reviewItem>
    <reviewItem>
      <errorID>b6973ec6-9487-4fe5-bc4e-b8dba63c3ca3</errorID>
      <errorWord>，</errorWord>
      <group>L1_Punc</group>
      <groupName>标点问题</groupName>
      <ability>L2_Punc</ability>
      <abilityName>标点符号检查</abilityName>
      <candidateList>
        <item>。</item>
      </candidateList>
      <explain/>
      <paraID>7D36F599</paraID>
      <start>126</start>
      <end>127</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7573b1-1a0f-496f-9382-72ed3552d08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49</Pages>
  <Words>442</Words>
  <Characters>488</Characters>
  <Lines>1083</Lines>
  <Paragraphs>1180</Paragraphs>
  <TotalTime>0</TotalTime>
  <ScaleCrop>false</ScaleCrop>
  <LinksUpToDate>false</LinksUpToDate>
  <CharactersWithSpaces>556</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2026-04-29T08:19:00Z</dcterms:created>
  <dc:creator>lhj</dc:creator>
  <cp:lastModifiedBy>Administrator</cp:lastModifiedBy>
  <cp:lastPrinted>2022-01-07T04:08:00Z</cp:lastPrinted>
  <dcterms:modified xsi:type="dcterms:W3CDTF">2026-05-27T08:15:35Z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F31560400BCC48349B8E97551BDB1EE8_13</vt:lpwstr>
  </property>
  <property fmtid="{D5CDD505-2E9C-101B-9397-08002B2CF9AE}" pid="4" name="KSOTemplateDocerSaveRecord">
    <vt:lpwstr>eyJoZGlkIjoiMWMxYjE0ODY0YzUzMzU2N2EyOTFkYjA4ZWVlNmY4NDEiLCJ1c2VySWQiOiI2NTgwMzMwNjkifQ==</vt:lpwstr>
  </property>
</Properties>
</file>